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9"/>
        <w:rPr>
          <w:rFonts w:ascii="方正小标宋简体" w:hAnsi="宋体" w:eastAsia="方正小标宋简体"/>
          <w:szCs w:val="21"/>
        </w:rPr>
      </w:pPr>
      <w:bookmarkStart w:id="0" w:name="_Toc15306267"/>
    </w:p>
    <w:p>
      <w:pPr>
        <w:pStyle w:val="2"/>
        <w:spacing w:before="93"/>
      </w:pPr>
    </w:p>
    <w:p>
      <w:pPr>
        <w:spacing w:line="600" w:lineRule="exact"/>
        <w:jc w:val="center"/>
        <w:outlineLvl w:val="9"/>
        <w:rPr>
          <w:rFonts w:ascii="方正小标宋简体" w:hAnsi="宋体" w:eastAsia="方正小标宋简体"/>
          <w:sz w:val="72"/>
          <w:szCs w:val="72"/>
        </w:rPr>
      </w:pPr>
    </w:p>
    <w:p>
      <w:pPr>
        <w:spacing w:line="600" w:lineRule="exact"/>
        <w:jc w:val="center"/>
        <w:outlineLvl w:val="9"/>
        <w:rPr>
          <w:rFonts w:ascii="方正小标宋简体" w:hAnsi="宋体" w:eastAsia="方正小标宋简体"/>
          <w:sz w:val="72"/>
          <w:szCs w:val="72"/>
        </w:rPr>
      </w:pPr>
    </w:p>
    <w:p>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1" w:name="_Toc15377193"/>
      <w:bookmarkStart w:id="2" w:name="_Toc15396475"/>
      <w:bookmarkStart w:id="3" w:name="_Toc15377425"/>
      <w:bookmarkStart w:id="4" w:name="_Toc24659"/>
      <w:bookmarkStart w:id="5" w:name="_Toc15396597"/>
      <w:bookmarkStart w:id="6" w:name="_Toc15378441"/>
      <w:r>
        <w:rPr>
          <w:rFonts w:hint="eastAsia" w:ascii="方正小标宋简体" w:hAnsi="方正小标宋简体" w:eastAsia="方正小标宋简体" w:cs="方正小标宋简体"/>
          <w:sz w:val="72"/>
          <w:szCs w:val="72"/>
        </w:rPr>
        <w:t>2023年度</w:t>
      </w:r>
      <w:bookmarkEnd w:id="1"/>
      <w:bookmarkEnd w:id="2"/>
      <w:bookmarkEnd w:id="3"/>
      <w:bookmarkEnd w:id="4"/>
      <w:bookmarkEnd w:id="5"/>
      <w:bookmarkEnd w:id="6"/>
    </w:p>
    <w:bookmarkEnd w:id="0"/>
    <w:p>
      <w:pPr>
        <w:adjustRightInd w:val="0"/>
        <w:snapToGrid w:val="0"/>
        <w:spacing w:line="360" w:lineRule="auto"/>
        <w:jc w:val="center"/>
        <w:outlineLvl w:val="0"/>
        <w:rPr>
          <w:rFonts w:hint="eastAsia" w:ascii="方正小标宋简体" w:hAnsi="方正小标宋简体" w:eastAsia="方正小标宋简体" w:cs="方正小标宋简体"/>
          <w:sz w:val="72"/>
          <w:szCs w:val="72"/>
        </w:rPr>
      </w:pPr>
      <w:bookmarkStart w:id="7" w:name="_Toc20073"/>
      <w:bookmarkStart w:id="8" w:name="_Toc15306268"/>
      <w:bookmarkStart w:id="9" w:name="_Toc15377194"/>
      <w:bookmarkStart w:id="10" w:name="_Toc15396476"/>
      <w:bookmarkStart w:id="11" w:name="_Toc15378442"/>
      <w:bookmarkStart w:id="12" w:name="_Toc15377426"/>
      <w:bookmarkStart w:id="13" w:name="_Toc15396598"/>
      <w:r>
        <w:rPr>
          <w:rFonts w:hint="eastAsia" w:ascii="方正小标宋简体" w:hAnsi="方正小标宋简体" w:eastAsia="方正小标宋简体" w:cs="方正小标宋简体"/>
          <w:sz w:val="72"/>
          <w:szCs w:val="72"/>
        </w:rPr>
        <w:t>广元市交通技工学校</w:t>
      </w:r>
      <w:bookmarkEnd w:id="7"/>
    </w:p>
    <w:p>
      <w:pPr>
        <w:adjustRightInd w:val="0"/>
        <w:snapToGrid w:val="0"/>
        <w:spacing w:line="360" w:lineRule="auto"/>
        <w:jc w:val="center"/>
        <w:outlineLvl w:val="0"/>
        <w:rPr>
          <w:rFonts w:ascii="方正小标宋简体" w:hAnsi="宋体" w:eastAsia="方正小标宋简体"/>
          <w:sz w:val="52"/>
          <w:szCs w:val="52"/>
        </w:rPr>
      </w:pPr>
      <w:bookmarkStart w:id="14" w:name="_Toc8597"/>
      <w:r>
        <w:rPr>
          <w:rFonts w:hint="eastAsia" w:ascii="方正小标宋简体" w:hAnsi="方正小标宋简体" w:eastAsia="方正小标宋简体" w:cs="方正小标宋简体"/>
          <w:sz w:val="72"/>
          <w:szCs w:val="72"/>
          <w:lang w:val="en-US" w:eastAsia="zh-CN"/>
        </w:rPr>
        <w:t>部门</w:t>
      </w:r>
      <w:r>
        <w:rPr>
          <w:rFonts w:hint="eastAsia" w:ascii="方正小标宋简体" w:hAnsi="方正小标宋简体" w:eastAsia="方正小标宋简体" w:cs="方正小标宋简体"/>
          <w:sz w:val="72"/>
          <w:szCs w:val="72"/>
        </w:rPr>
        <w:t>决算</w:t>
      </w:r>
      <w:bookmarkEnd w:id="8"/>
      <w:bookmarkEnd w:id="9"/>
      <w:bookmarkEnd w:id="10"/>
      <w:bookmarkEnd w:id="11"/>
      <w:bookmarkEnd w:id="12"/>
      <w:bookmarkEnd w:id="13"/>
      <w:bookmarkEnd w:id="14"/>
    </w:p>
    <w:p>
      <w:pPr>
        <w:widowControl/>
        <w:jc w:val="center"/>
        <w:rPr>
          <w:rFonts w:ascii="黑体" w:hAnsi="黑体" w:eastAsia="黑体" w:cstheme="minorBidi"/>
          <w:sz w:val="28"/>
          <w:szCs w:val="28"/>
        </w:rPr>
      </w:pPr>
      <w:r>
        <w:rPr>
          <w:rFonts w:ascii="方正小标宋简体" w:hAnsi="宋体" w:eastAsia="方正小标宋简体"/>
          <w:sz w:val="36"/>
          <w:szCs w:val="36"/>
        </w:rPr>
        <w:br w:type="page"/>
      </w:r>
      <w:r>
        <w:rPr>
          <w:rFonts w:hint="eastAsia" w:ascii="黑体" w:hAnsi="黑体" w:eastAsia="黑体"/>
          <w:sz w:val="48"/>
          <w:szCs w:val="48"/>
        </w:rPr>
        <w:t>目</w:t>
      </w:r>
      <w:r>
        <w:rPr>
          <w:rFonts w:hint="eastAsia" w:ascii="黑体" w:hAnsi="黑体" w:eastAsia="黑体"/>
          <w:sz w:val="48"/>
          <w:szCs w:val="48"/>
          <w:lang w:val="en-US" w:eastAsia="zh-CN"/>
        </w:rPr>
        <w:t xml:space="preserve">  </w:t>
      </w:r>
      <w:r>
        <w:rPr>
          <w:rFonts w:hint="eastAsia" w:ascii="黑体" w:hAnsi="黑体" w:eastAsia="黑体"/>
          <w:sz w:val="48"/>
          <w:szCs w:val="48"/>
        </w:rPr>
        <w:t>录</w:t>
      </w:r>
    </w:p>
    <w:p>
      <w:pPr>
        <w:pStyle w:val="12"/>
      </w:pPr>
      <w:r>
        <w:rPr>
          <w:rFonts w:hint="eastAsia"/>
        </w:rPr>
        <w:t>公开时间：202</w:t>
      </w:r>
      <w:r>
        <w:rPr>
          <w:rFonts w:hint="eastAsia"/>
          <w:lang w:val="en-US" w:eastAsia="zh-CN"/>
        </w:rPr>
        <w:t>4</w:t>
      </w:r>
      <w:r>
        <w:rPr>
          <w:rFonts w:hint="eastAsia"/>
        </w:rPr>
        <w:t>年</w:t>
      </w:r>
      <w:r>
        <w:rPr>
          <w:rFonts w:hint="eastAsia"/>
          <w:lang w:val="en-US" w:eastAsia="zh-CN"/>
        </w:rPr>
        <w:t>10</w:t>
      </w:r>
      <w:r>
        <w:rPr>
          <w:rFonts w:hint="eastAsia"/>
        </w:rPr>
        <w:t>月</w:t>
      </w:r>
      <w:r>
        <w:rPr>
          <w:rFonts w:hint="eastAsia"/>
          <w:lang w:val="en-US" w:eastAsia="zh-CN"/>
        </w:rPr>
        <w:t>2</w:t>
      </w:r>
      <w:r>
        <w:rPr>
          <w:rFonts w:hint="eastAsia"/>
        </w:rPr>
        <w:t>日</w:t>
      </w:r>
    </w:p>
    <w:sdt>
      <w:sdtPr>
        <w:rPr>
          <w:rFonts w:ascii="宋体" w:hAnsi="宋体" w:eastAsia="宋体" w:cs="Times New Roman"/>
          <w:kern w:val="2"/>
          <w:sz w:val="21"/>
          <w:szCs w:val="24"/>
          <w:lang w:val="en-US" w:eastAsia="zh-CN" w:bidi="ar-SA"/>
        </w:rPr>
        <w:id w:val="147465924"/>
        <w15:color w:val="DBDBDB"/>
        <w:docPartObj>
          <w:docPartGallery w:val="Table of Contents"/>
          <w:docPartUnique/>
        </w:docPartObj>
      </w:sdtPr>
      <w:sdtEndPr>
        <w:rPr>
          <w:rFonts w:ascii="宋体" w:hAnsi="宋体" w:eastAsia="宋体" w:cs="Times New Roman"/>
          <w:b/>
          <w:kern w:val="2"/>
          <w:sz w:val="21"/>
          <w:szCs w:val="24"/>
          <w:lang w:val="en-US" w:eastAsia="zh-CN" w:bidi="ar-SA"/>
        </w:rPr>
      </w:sdtEndPr>
      <w:sdtContent>
        <w:p>
          <w:pPr>
            <w:spacing w:before="0" w:beforeLines="0" w:after="0" w:afterLines="0" w:line="240" w:lineRule="auto"/>
            <w:ind w:left="0" w:leftChars="0" w:right="0" w:rightChars="0" w:firstLine="0" w:firstLineChars="0"/>
            <w:jc w:val="center"/>
            <w:rPr>
              <w:b/>
            </w:rPr>
          </w:pPr>
          <w:bookmarkStart w:id="15" w:name="_Toc15396599"/>
          <w:bookmarkStart w:id="16" w:name="_Toc15377196"/>
          <w:bookmarkStart w:id="113" w:name="_GoBack"/>
          <w:bookmarkEnd w:id="113"/>
          <w:r>
            <w:fldChar w:fldCharType="begin"/>
          </w:r>
          <w:r>
            <w:instrText xml:space="preserve">TOC \o "1-2" \h \u </w:instrText>
          </w:r>
          <w:r>
            <w:fldChar w:fldCharType="separate"/>
          </w:r>
        </w:p>
        <w:p>
          <w:pPr>
            <w:pStyle w:val="34"/>
            <w:tabs>
              <w:tab w:val="right" w:leader="dot" w:pos="8306"/>
            </w:tabs>
            <w:rPr>
              <w:b/>
            </w:rPr>
          </w:pPr>
          <w:r>
            <w:rPr>
              <w:b/>
            </w:rPr>
            <w:fldChar w:fldCharType="begin"/>
          </w:r>
          <w:r>
            <w:rPr>
              <w:b/>
            </w:rPr>
            <w:instrText xml:space="preserve"> HYPERLINK \l _Toc2621 </w:instrText>
          </w:r>
          <w:r>
            <w:rPr>
              <w:b/>
            </w:rPr>
            <w:fldChar w:fldCharType="separate"/>
          </w:r>
          <w:r>
            <w:rPr>
              <w:rFonts w:hint="eastAsia" w:ascii="黑体" w:hAnsi="黑体" w:eastAsia="黑体"/>
              <w:b/>
            </w:rPr>
            <w:t xml:space="preserve">第一部分 </w:t>
          </w:r>
          <w:r>
            <w:rPr>
              <w:rFonts w:hint="eastAsia" w:ascii="黑体" w:hAnsi="黑体" w:eastAsia="黑体"/>
              <w:b/>
              <w:lang w:val="en-US" w:eastAsia="zh-CN"/>
            </w:rPr>
            <w:t>部门</w:t>
          </w:r>
          <w:r>
            <w:rPr>
              <w:rFonts w:hint="eastAsia" w:ascii="黑体" w:hAnsi="黑体" w:eastAsia="黑体"/>
              <w:b/>
              <w:bCs w:val="0"/>
            </w:rPr>
            <w:t>概况</w:t>
          </w:r>
          <w:r>
            <w:rPr>
              <w:b/>
            </w:rPr>
            <w:tab/>
          </w:r>
          <w:r>
            <w:rPr>
              <w:b/>
            </w:rPr>
            <w:fldChar w:fldCharType="begin"/>
          </w:r>
          <w:r>
            <w:rPr>
              <w:b/>
            </w:rPr>
            <w:instrText xml:space="preserve"> PAGEREF _Toc2621 \h </w:instrText>
          </w:r>
          <w:r>
            <w:rPr>
              <w:b/>
            </w:rPr>
            <w:fldChar w:fldCharType="separate"/>
          </w:r>
          <w:r>
            <w:rPr>
              <w:b/>
            </w:rPr>
            <w:t>3</w:t>
          </w:r>
          <w:r>
            <w:rPr>
              <w:b/>
            </w:rPr>
            <w:fldChar w:fldCharType="end"/>
          </w:r>
          <w:r>
            <w:rPr>
              <w:b/>
            </w:rPr>
            <w:fldChar w:fldCharType="end"/>
          </w:r>
        </w:p>
        <w:p>
          <w:pPr>
            <w:pStyle w:val="35"/>
            <w:tabs>
              <w:tab w:val="right" w:leader="dot" w:pos="8306"/>
            </w:tabs>
          </w:pPr>
          <w:r>
            <w:fldChar w:fldCharType="begin"/>
          </w:r>
          <w:r>
            <w:instrText xml:space="preserve"> HYPERLINK \l _Toc14958 </w:instrText>
          </w:r>
          <w:r>
            <w:fldChar w:fldCharType="separate"/>
          </w:r>
          <w:r>
            <w:rPr>
              <w:rFonts w:hint="eastAsia" w:ascii="黑体" w:hAnsi="黑体" w:eastAsia="黑体"/>
              <w:kern w:val="2"/>
              <w:highlight w:val="none"/>
              <w:lang w:val="zh-CN"/>
            </w:rPr>
            <w:t>一、部门职责</w:t>
          </w:r>
          <w:r>
            <w:tab/>
          </w:r>
          <w:r>
            <w:fldChar w:fldCharType="begin"/>
          </w:r>
          <w:r>
            <w:instrText xml:space="preserve"> PAGEREF _Toc14958 \h </w:instrText>
          </w:r>
          <w:r>
            <w:fldChar w:fldCharType="separate"/>
          </w:r>
          <w:r>
            <w:t>3</w:t>
          </w:r>
          <w:r>
            <w:fldChar w:fldCharType="end"/>
          </w:r>
          <w:r>
            <w:fldChar w:fldCharType="end"/>
          </w:r>
        </w:p>
        <w:p>
          <w:pPr>
            <w:pStyle w:val="35"/>
            <w:tabs>
              <w:tab w:val="right" w:leader="dot" w:pos="8306"/>
            </w:tabs>
          </w:pPr>
          <w:r>
            <w:fldChar w:fldCharType="begin"/>
          </w:r>
          <w:r>
            <w:instrText xml:space="preserve"> HYPERLINK \l _Toc31052 </w:instrText>
          </w:r>
          <w:r>
            <w:fldChar w:fldCharType="separate"/>
          </w:r>
          <w:r>
            <w:rPr>
              <w:rFonts w:hint="eastAsia" w:ascii="黑体" w:hAnsi="黑体" w:eastAsia="黑体"/>
              <w:kern w:val="2"/>
              <w:highlight w:val="none"/>
              <w:lang w:val="zh-CN"/>
            </w:rPr>
            <w:t>二、机构设置</w:t>
          </w:r>
          <w:r>
            <w:tab/>
          </w:r>
          <w:r>
            <w:fldChar w:fldCharType="begin"/>
          </w:r>
          <w:r>
            <w:instrText xml:space="preserve"> PAGEREF _Toc31052 \h </w:instrText>
          </w:r>
          <w:r>
            <w:fldChar w:fldCharType="separate"/>
          </w:r>
          <w:r>
            <w:t>4</w:t>
          </w:r>
          <w:r>
            <w:fldChar w:fldCharType="end"/>
          </w:r>
          <w:r>
            <w:fldChar w:fldCharType="end"/>
          </w:r>
        </w:p>
        <w:p>
          <w:pPr>
            <w:pStyle w:val="34"/>
            <w:tabs>
              <w:tab w:val="right" w:leader="dot" w:pos="8306"/>
            </w:tabs>
            <w:rPr>
              <w:b/>
            </w:rPr>
          </w:pPr>
          <w:r>
            <w:rPr>
              <w:b/>
            </w:rPr>
            <w:fldChar w:fldCharType="begin"/>
          </w:r>
          <w:r>
            <w:rPr>
              <w:b/>
            </w:rPr>
            <w:instrText xml:space="preserve"> HYPERLINK \l _Toc25747 </w:instrText>
          </w:r>
          <w:r>
            <w:rPr>
              <w:b/>
            </w:rPr>
            <w:fldChar w:fldCharType="separate"/>
          </w:r>
          <w:r>
            <w:rPr>
              <w:rFonts w:hint="eastAsia" w:ascii="黑体" w:hAnsi="黑体" w:eastAsia="黑体" w:cs="Times New Roman"/>
              <w:b/>
              <w:bCs/>
              <w:kern w:val="44"/>
              <w:szCs w:val="44"/>
              <w:lang w:val="en-US" w:eastAsia="zh-CN" w:bidi="ar-SA"/>
            </w:rPr>
            <w:t>第二部分 2023年度部门决算情况说明</w:t>
          </w:r>
          <w:r>
            <w:rPr>
              <w:b/>
            </w:rPr>
            <w:tab/>
          </w:r>
          <w:r>
            <w:rPr>
              <w:b/>
            </w:rPr>
            <w:fldChar w:fldCharType="begin"/>
          </w:r>
          <w:r>
            <w:rPr>
              <w:b/>
            </w:rPr>
            <w:instrText xml:space="preserve"> PAGEREF _Toc25747 \h </w:instrText>
          </w:r>
          <w:r>
            <w:rPr>
              <w:b/>
            </w:rPr>
            <w:fldChar w:fldCharType="separate"/>
          </w:r>
          <w:r>
            <w:rPr>
              <w:b/>
            </w:rPr>
            <w:t>4</w:t>
          </w:r>
          <w:r>
            <w:rPr>
              <w:b/>
            </w:rPr>
            <w:fldChar w:fldCharType="end"/>
          </w:r>
          <w:r>
            <w:rPr>
              <w:b/>
            </w:rPr>
            <w:fldChar w:fldCharType="end"/>
          </w:r>
        </w:p>
        <w:p>
          <w:pPr>
            <w:pStyle w:val="35"/>
            <w:tabs>
              <w:tab w:val="right" w:leader="dot" w:pos="8306"/>
            </w:tabs>
          </w:pPr>
          <w:r>
            <w:fldChar w:fldCharType="begin"/>
          </w:r>
          <w:r>
            <w:instrText xml:space="preserve"> HYPERLINK \l _Toc10380 </w:instrText>
          </w:r>
          <w:r>
            <w:fldChar w:fldCharType="separate"/>
          </w:r>
          <w:r>
            <w:rPr>
              <w:rFonts w:hint="default" w:ascii="黑体" w:hAnsi="黑体" w:eastAsia="黑体"/>
            </w:rPr>
            <w:t xml:space="preserve">一、 </w:t>
          </w:r>
          <w:r>
            <w:rPr>
              <w:rFonts w:hint="eastAsia" w:ascii="黑体" w:hAnsi="黑体" w:eastAsia="黑体"/>
              <w:szCs w:val="32"/>
            </w:rPr>
            <w:t>收</w:t>
          </w:r>
          <w:r>
            <w:rPr>
              <w:rFonts w:hint="eastAsia" w:ascii="黑体" w:hAnsi="黑体" w:eastAsia="黑体"/>
            </w:rPr>
            <w:t>入支出决算总体情况说明</w:t>
          </w:r>
          <w:r>
            <w:tab/>
          </w:r>
          <w:r>
            <w:fldChar w:fldCharType="begin"/>
          </w:r>
          <w:r>
            <w:instrText xml:space="preserve"> PAGEREF _Toc10380 \h </w:instrText>
          </w:r>
          <w:r>
            <w:fldChar w:fldCharType="separate"/>
          </w:r>
          <w:r>
            <w:t>4</w:t>
          </w:r>
          <w:r>
            <w:fldChar w:fldCharType="end"/>
          </w:r>
          <w:r>
            <w:fldChar w:fldCharType="end"/>
          </w:r>
        </w:p>
        <w:p>
          <w:pPr>
            <w:pStyle w:val="35"/>
            <w:tabs>
              <w:tab w:val="right" w:leader="dot" w:pos="8306"/>
            </w:tabs>
          </w:pPr>
          <w:r>
            <w:fldChar w:fldCharType="begin"/>
          </w:r>
          <w:r>
            <w:instrText xml:space="preserve"> HYPERLINK \l _Toc4837 </w:instrText>
          </w:r>
          <w:r>
            <w:fldChar w:fldCharType="separate"/>
          </w:r>
          <w:r>
            <w:rPr>
              <w:rFonts w:hint="default" w:ascii="黑体" w:hAnsi="黑体" w:eastAsia="黑体"/>
            </w:rPr>
            <w:t xml:space="preserve">二、 </w:t>
          </w:r>
          <w:r>
            <w:rPr>
              <w:rFonts w:hint="eastAsia" w:ascii="黑体" w:hAnsi="黑体" w:eastAsia="黑体"/>
              <w:szCs w:val="32"/>
            </w:rPr>
            <w:t>收</w:t>
          </w:r>
          <w:r>
            <w:rPr>
              <w:rFonts w:hint="eastAsia" w:ascii="黑体" w:hAnsi="黑体" w:eastAsia="黑体"/>
            </w:rPr>
            <w:t>入决算情况说明</w:t>
          </w:r>
          <w:r>
            <w:tab/>
          </w:r>
          <w:r>
            <w:fldChar w:fldCharType="begin"/>
          </w:r>
          <w:r>
            <w:instrText xml:space="preserve"> PAGEREF _Toc4837 \h </w:instrText>
          </w:r>
          <w:r>
            <w:fldChar w:fldCharType="separate"/>
          </w:r>
          <w:r>
            <w:t>4</w:t>
          </w:r>
          <w:r>
            <w:fldChar w:fldCharType="end"/>
          </w:r>
          <w:r>
            <w:fldChar w:fldCharType="end"/>
          </w:r>
        </w:p>
        <w:p>
          <w:pPr>
            <w:pStyle w:val="35"/>
            <w:tabs>
              <w:tab w:val="right" w:leader="dot" w:pos="8306"/>
            </w:tabs>
          </w:pPr>
          <w:r>
            <w:fldChar w:fldCharType="begin"/>
          </w:r>
          <w:r>
            <w:instrText xml:space="preserve"> HYPERLINK \l _Toc14222 </w:instrText>
          </w:r>
          <w:r>
            <w:fldChar w:fldCharType="separate"/>
          </w:r>
          <w:r>
            <w:rPr>
              <w:rFonts w:hint="default" w:ascii="黑体" w:hAnsi="黑体" w:eastAsia="黑体"/>
            </w:rPr>
            <w:t xml:space="preserve">三、 </w:t>
          </w:r>
          <w:r>
            <w:rPr>
              <w:rFonts w:hint="eastAsia" w:ascii="黑体" w:hAnsi="黑体" w:eastAsia="黑体"/>
              <w:szCs w:val="32"/>
            </w:rPr>
            <w:t>支</w:t>
          </w:r>
          <w:r>
            <w:rPr>
              <w:rFonts w:hint="eastAsia" w:ascii="黑体" w:hAnsi="黑体" w:eastAsia="黑体"/>
            </w:rPr>
            <w:t>出决算情况说明</w:t>
          </w:r>
          <w:r>
            <w:tab/>
          </w:r>
          <w:r>
            <w:fldChar w:fldCharType="begin"/>
          </w:r>
          <w:r>
            <w:instrText xml:space="preserve"> PAGEREF _Toc14222 \h </w:instrText>
          </w:r>
          <w:r>
            <w:fldChar w:fldCharType="separate"/>
          </w:r>
          <w:r>
            <w:t>5</w:t>
          </w:r>
          <w:r>
            <w:fldChar w:fldCharType="end"/>
          </w:r>
          <w:r>
            <w:fldChar w:fldCharType="end"/>
          </w:r>
        </w:p>
        <w:p>
          <w:pPr>
            <w:pStyle w:val="35"/>
            <w:tabs>
              <w:tab w:val="right" w:leader="dot" w:pos="8306"/>
            </w:tabs>
          </w:pPr>
          <w:r>
            <w:fldChar w:fldCharType="begin"/>
          </w:r>
          <w:r>
            <w:instrText xml:space="preserve"> HYPERLINK \l _Toc8139 </w:instrText>
          </w:r>
          <w:r>
            <w:fldChar w:fldCharType="separate"/>
          </w:r>
          <w:r>
            <w:rPr>
              <w:rFonts w:hint="eastAsia" w:ascii="黑体" w:hAnsi="黑体" w:eastAsia="黑体"/>
              <w:szCs w:val="32"/>
            </w:rPr>
            <w:t>四、财</w:t>
          </w:r>
          <w:r>
            <w:rPr>
              <w:rFonts w:hint="eastAsia" w:ascii="黑体" w:hAnsi="黑体" w:eastAsia="黑体"/>
            </w:rPr>
            <w:t>政拨款收入支出决算总体情况说明</w:t>
          </w:r>
          <w:r>
            <w:tab/>
          </w:r>
          <w:r>
            <w:fldChar w:fldCharType="begin"/>
          </w:r>
          <w:r>
            <w:instrText xml:space="preserve"> PAGEREF _Toc8139 \h </w:instrText>
          </w:r>
          <w:r>
            <w:fldChar w:fldCharType="separate"/>
          </w:r>
          <w:r>
            <w:t>5</w:t>
          </w:r>
          <w:r>
            <w:fldChar w:fldCharType="end"/>
          </w:r>
          <w:r>
            <w:fldChar w:fldCharType="end"/>
          </w:r>
        </w:p>
        <w:p>
          <w:pPr>
            <w:pStyle w:val="35"/>
            <w:tabs>
              <w:tab w:val="right" w:leader="dot" w:pos="8306"/>
            </w:tabs>
          </w:pPr>
          <w:r>
            <w:fldChar w:fldCharType="begin"/>
          </w:r>
          <w:r>
            <w:instrText xml:space="preserve"> HYPERLINK \l _Toc9358 </w:instrText>
          </w:r>
          <w:r>
            <w:fldChar w:fldCharType="separate"/>
          </w:r>
          <w:r>
            <w:rPr>
              <w:rFonts w:hint="eastAsia" w:ascii="黑体" w:hAnsi="黑体" w:eastAsia="黑体"/>
              <w:szCs w:val="32"/>
            </w:rPr>
            <w:t>五、一</w:t>
          </w:r>
          <w:r>
            <w:rPr>
              <w:rFonts w:hint="eastAsia" w:ascii="黑体" w:hAnsi="黑体" w:eastAsia="黑体"/>
            </w:rPr>
            <w:t>般公共预算财政拨款支出决算情况说明</w:t>
          </w:r>
          <w:r>
            <w:tab/>
          </w:r>
          <w:r>
            <w:fldChar w:fldCharType="begin"/>
          </w:r>
          <w:r>
            <w:instrText xml:space="preserve"> PAGEREF _Toc9358 \h </w:instrText>
          </w:r>
          <w:r>
            <w:fldChar w:fldCharType="separate"/>
          </w:r>
          <w:r>
            <w:t>6</w:t>
          </w:r>
          <w:r>
            <w:fldChar w:fldCharType="end"/>
          </w:r>
          <w:r>
            <w:fldChar w:fldCharType="end"/>
          </w:r>
        </w:p>
        <w:p>
          <w:pPr>
            <w:pStyle w:val="35"/>
            <w:tabs>
              <w:tab w:val="right" w:leader="dot" w:pos="8306"/>
            </w:tabs>
          </w:pPr>
          <w:r>
            <w:fldChar w:fldCharType="begin"/>
          </w:r>
          <w:r>
            <w:instrText xml:space="preserve"> HYPERLINK \l _Toc23453 </w:instrText>
          </w:r>
          <w:r>
            <w:fldChar w:fldCharType="separate"/>
          </w:r>
          <w:r>
            <w:rPr>
              <w:rFonts w:hint="eastAsia" w:ascii="黑体" w:eastAsia="黑体"/>
              <w:szCs w:val="32"/>
            </w:rPr>
            <w:t>六、</w:t>
          </w:r>
          <w:r>
            <w:rPr>
              <w:rFonts w:hint="eastAsia" w:ascii="黑体" w:hAnsi="黑体" w:eastAsia="黑体"/>
              <w:szCs w:val="32"/>
            </w:rPr>
            <w:t>一</w:t>
          </w:r>
          <w:r>
            <w:rPr>
              <w:rFonts w:hint="eastAsia" w:ascii="黑体" w:hAnsi="黑体" w:eastAsia="黑体"/>
            </w:rPr>
            <w:t>般公共预算财政拨款基本支出决算情况说明</w:t>
          </w:r>
          <w:r>
            <w:tab/>
          </w:r>
          <w:r>
            <w:fldChar w:fldCharType="begin"/>
          </w:r>
          <w:r>
            <w:instrText xml:space="preserve"> PAGEREF _Toc23453 \h </w:instrText>
          </w:r>
          <w:r>
            <w:fldChar w:fldCharType="separate"/>
          </w:r>
          <w:r>
            <w:t>8</w:t>
          </w:r>
          <w:r>
            <w:fldChar w:fldCharType="end"/>
          </w:r>
          <w:r>
            <w:fldChar w:fldCharType="end"/>
          </w:r>
        </w:p>
        <w:p>
          <w:pPr>
            <w:pStyle w:val="35"/>
            <w:tabs>
              <w:tab w:val="right" w:leader="dot" w:pos="8306"/>
            </w:tabs>
          </w:pPr>
          <w:r>
            <w:fldChar w:fldCharType="begin"/>
          </w:r>
          <w:r>
            <w:instrText xml:space="preserve"> HYPERLINK \l _Toc4826 </w:instrText>
          </w:r>
          <w:r>
            <w:fldChar w:fldCharType="separate"/>
          </w:r>
          <w:r>
            <w:rPr>
              <w:rFonts w:hint="eastAsia" w:ascii="黑体" w:eastAsia="黑体"/>
              <w:szCs w:val="32"/>
            </w:rPr>
            <w:t>七、</w:t>
          </w:r>
          <w:r>
            <w:rPr>
              <w:rFonts w:hint="eastAsia" w:ascii="黑体" w:hAnsi="黑体" w:eastAsia="黑体"/>
            </w:rPr>
            <w:t>财政拨款“三公”经费支出决算情况说明</w:t>
          </w:r>
          <w:r>
            <w:tab/>
          </w:r>
          <w:r>
            <w:fldChar w:fldCharType="begin"/>
          </w:r>
          <w:r>
            <w:instrText xml:space="preserve"> PAGEREF _Toc4826 \h </w:instrText>
          </w:r>
          <w:r>
            <w:fldChar w:fldCharType="separate"/>
          </w:r>
          <w:r>
            <w:t>9</w:t>
          </w:r>
          <w:r>
            <w:fldChar w:fldCharType="end"/>
          </w:r>
          <w:r>
            <w:fldChar w:fldCharType="end"/>
          </w:r>
        </w:p>
        <w:p>
          <w:pPr>
            <w:pStyle w:val="35"/>
            <w:tabs>
              <w:tab w:val="right" w:leader="dot" w:pos="8306"/>
            </w:tabs>
          </w:pPr>
          <w:r>
            <w:fldChar w:fldCharType="begin"/>
          </w:r>
          <w:r>
            <w:instrText xml:space="preserve"> HYPERLINK \l _Toc4903 </w:instrText>
          </w:r>
          <w:r>
            <w:fldChar w:fldCharType="separate"/>
          </w:r>
          <w:r>
            <w:rPr>
              <w:rFonts w:hint="eastAsia" w:ascii="黑体" w:hAnsi="黑体" w:eastAsia="黑体"/>
            </w:rPr>
            <w:t>八、政府性基金预算支出决算情况说明</w:t>
          </w:r>
          <w:r>
            <w:tab/>
          </w:r>
          <w:r>
            <w:fldChar w:fldCharType="begin"/>
          </w:r>
          <w:r>
            <w:instrText xml:space="preserve"> PAGEREF _Toc4903 \h </w:instrText>
          </w:r>
          <w:r>
            <w:fldChar w:fldCharType="separate"/>
          </w:r>
          <w:r>
            <w:t>10</w:t>
          </w:r>
          <w:r>
            <w:fldChar w:fldCharType="end"/>
          </w:r>
          <w:r>
            <w:fldChar w:fldCharType="end"/>
          </w:r>
        </w:p>
        <w:p>
          <w:pPr>
            <w:pStyle w:val="35"/>
            <w:tabs>
              <w:tab w:val="right" w:leader="dot" w:pos="8306"/>
            </w:tabs>
          </w:pPr>
          <w:r>
            <w:fldChar w:fldCharType="begin"/>
          </w:r>
          <w:r>
            <w:instrText xml:space="preserve"> HYPERLINK \l _Toc4967 </w:instrText>
          </w:r>
          <w:r>
            <w:fldChar w:fldCharType="separate"/>
          </w:r>
          <w:r>
            <w:rPr>
              <w:rFonts w:hint="eastAsia" w:ascii="黑体" w:hAnsi="黑体" w:eastAsia="黑体" w:cs="黑体"/>
              <w:bCs w:val="0"/>
            </w:rPr>
            <w:t>九、 国有资本经营预算支出决算情况说明</w:t>
          </w:r>
          <w:r>
            <w:tab/>
          </w:r>
          <w:r>
            <w:fldChar w:fldCharType="begin"/>
          </w:r>
          <w:r>
            <w:instrText xml:space="preserve"> PAGEREF _Toc4967 \h </w:instrText>
          </w:r>
          <w:r>
            <w:fldChar w:fldCharType="separate"/>
          </w:r>
          <w:r>
            <w:t>10</w:t>
          </w:r>
          <w:r>
            <w:fldChar w:fldCharType="end"/>
          </w:r>
          <w:r>
            <w:fldChar w:fldCharType="end"/>
          </w:r>
        </w:p>
        <w:p>
          <w:pPr>
            <w:pStyle w:val="35"/>
            <w:tabs>
              <w:tab w:val="right" w:leader="dot" w:pos="8306"/>
            </w:tabs>
          </w:pPr>
          <w:r>
            <w:fldChar w:fldCharType="begin"/>
          </w:r>
          <w:r>
            <w:instrText xml:space="preserve"> HYPERLINK \l _Toc30115 </w:instrText>
          </w:r>
          <w:r>
            <w:fldChar w:fldCharType="separate"/>
          </w:r>
          <w:r>
            <w:rPr>
              <w:rFonts w:hint="eastAsia" w:ascii="黑体" w:hAnsi="黑体" w:eastAsia="黑体" w:cs="黑体"/>
            </w:rPr>
            <w:t>十、 其他重要事项的情况说明</w:t>
          </w:r>
          <w:r>
            <w:tab/>
          </w:r>
          <w:r>
            <w:fldChar w:fldCharType="begin"/>
          </w:r>
          <w:r>
            <w:instrText xml:space="preserve"> PAGEREF _Toc30115 \h </w:instrText>
          </w:r>
          <w:r>
            <w:fldChar w:fldCharType="separate"/>
          </w:r>
          <w:r>
            <w:t>10</w:t>
          </w:r>
          <w:r>
            <w:fldChar w:fldCharType="end"/>
          </w:r>
          <w:r>
            <w:fldChar w:fldCharType="end"/>
          </w:r>
        </w:p>
        <w:p>
          <w:pPr>
            <w:pStyle w:val="34"/>
            <w:tabs>
              <w:tab w:val="right" w:leader="dot" w:pos="8306"/>
            </w:tabs>
            <w:rPr>
              <w:b/>
            </w:rPr>
          </w:pPr>
          <w:r>
            <w:rPr>
              <w:b/>
            </w:rPr>
            <w:fldChar w:fldCharType="begin"/>
          </w:r>
          <w:r>
            <w:rPr>
              <w:b/>
            </w:rPr>
            <w:instrText xml:space="preserve"> HYPERLINK \l _Toc12972 </w:instrText>
          </w:r>
          <w:r>
            <w:rPr>
              <w:b/>
            </w:rPr>
            <w:fldChar w:fldCharType="separate"/>
          </w:r>
          <w:r>
            <w:rPr>
              <w:rFonts w:hint="eastAsia" w:ascii="黑体" w:hAnsi="黑体" w:eastAsia="黑体" w:cs="黑体"/>
              <w:b/>
              <w:szCs w:val="44"/>
            </w:rPr>
            <w:t xml:space="preserve">第三部分 </w:t>
          </w:r>
          <w:r>
            <w:rPr>
              <w:rFonts w:hint="eastAsia" w:ascii="黑体" w:hAnsi="黑体" w:eastAsia="黑体"/>
              <w:b/>
              <w:szCs w:val="44"/>
            </w:rPr>
            <w:t>名</w:t>
          </w:r>
          <w:r>
            <w:rPr>
              <w:rFonts w:hint="eastAsia" w:ascii="黑体" w:hAnsi="黑体" w:eastAsia="黑体"/>
              <w:b/>
            </w:rPr>
            <w:t>词解释</w:t>
          </w:r>
          <w:r>
            <w:rPr>
              <w:b/>
            </w:rPr>
            <w:tab/>
          </w:r>
          <w:r>
            <w:rPr>
              <w:b/>
            </w:rPr>
            <w:fldChar w:fldCharType="begin"/>
          </w:r>
          <w:r>
            <w:rPr>
              <w:b/>
            </w:rPr>
            <w:instrText xml:space="preserve"> PAGEREF _Toc12972 \h </w:instrText>
          </w:r>
          <w:r>
            <w:rPr>
              <w:b/>
            </w:rPr>
            <w:fldChar w:fldCharType="separate"/>
          </w:r>
          <w:r>
            <w:rPr>
              <w:b/>
            </w:rPr>
            <w:t>12</w:t>
          </w:r>
          <w:r>
            <w:rPr>
              <w:b/>
            </w:rPr>
            <w:fldChar w:fldCharType="end"/>
          </w:r>
          <w:r>
            <w:rPr>
              <w:b/>
            </w:rPr>
            <w:fldChar w:fldCharType="end"/>
          </w:r>
        </w:p>
        <w:p>
          <w:pPr>
            <w:pStyle w:val="34"/>
            <w:tabs>
              <w:tab w:val="right" w:leader="dot" w:pos="8306"/>
            </w:tabs>
            <w:rPr>
              <w:b/>
            </w:rPr>
          </w:pPr>
          <w:r>
            <w:rPr>
              <w:b/>
            </w:rPr>
            <w:fldChar w:fldCharType="begin"/>
          </w:r>
          <w:r>
            <w:rPr>
              <w:b/>
            </w:rPr>
            <w:instrText xml:space="preserve"> HYPERLINK \l _Toc25365 </w:instrText>
          </w:r>
          <w:r>
            <w:rPr>
              <w:b/>
            </w:rPr>
            <w:fldChar w:fldCharType="separate"/>
          </w:r>
          <w:r>
            <w:rPr>
              <w:rFonts w:hint="eastAsia" w:ascii="黑体" w:hAnsi="黑体" w:eastAsia="黑体"/>
              <w:b/>
              <w:szCs w:val="44"/>
            </w:rPr>
            <w:t>第</w:t>
          </w:r>
          <w:r>
            <w:rPr>
              <w:rFonts w:hint="eastAsia" w:ascii="黑体" w:hAnsi="黑体" w:eastAsia="黑体"/>
              <w:b/>
            </w:rPr>
            <w:t>四部分 附件</w:t>
          </w:r>
          <w:r>
            <w:rPr>
              <w:b/>
            </w:rPr>
            <w:tab/>
          </w:r>
          <w:r>
            <w:rPr>
              <w:b/>
            </w:rPr>
            <w:fldChar w:fldCharType="begin"/>
          </w:r>
          <w:r>
            <w:rPr>
              <w:b/>
            </w:rPr>
            <w:instrText xml:space="preserve"> PAGEREF _Toc25365 \h </w:instrText>
          </w:r>
          <w:r>
            <w:rPr>
              <w:b/>
            </w:rPr>
            <w:fldChar w:fldCharType="separate"/>
          </w:r>
          <w:r>
            <w:rPr>
              <w:b/>
            </w:rPr>
            <w:t>14</w:t>
          </w:r>
          <w:r>
            <w:rPr>
              <w:b/>
            </w:rPr>
            <w:fldChar w:fldCharType="end"/>
          </w:r>
          <w:r>
            <w:rPr>
              <w:b/>
            </w:rPr>
            <w:fldChar w:fldCharType="end"/>
          </w:r>
        </w:p>
        <w:p>
          <w:pPr>
            <w:pStyle w:val="34"/>
            <w:tabs>
              <w:tab w:val="right" w:leader="dot" w:pos="8306"/>
            </w:tabs>
            <w:rPr>
              <w:b/>
            </w:rPr>
          </w:pPr>
          <w:r>
            <w:rPr>
              <w:b/>
            </w:rPr>
            <w:fldChar w:fldCharType="begin"/>
          </w:r>
          <w:r>
            <w:rPr>
              <w:b/>
            </w:rPr>
            <w:instrText xml:space="preserve"> HYPERLINK \l _Toc2131 </w:instrText>
          </w:r>
          <w:r>
            <w:rPr>
              <w:b/>
            </w:rPr>
            <w:fldChar w:fldCharType="separate"/>
          </w:r>
          <w:r>
            <w:rPr>
              <w:rFonts w:hint="eastAsia" w:ascii="黑体" w:hAnsi="黑体" w:eastAsia="黑体"/>
              <w:b/>
              <w:szCs w:val="44"/>
            </w:rPr>
            <w:t>第</w:t>
          </w:r>
          <w:r>
            <w:rPr>
              <w:rFonts w:hint="eastAsia" w:ascii="黑体" w:hAnsi="黑体" w:eastAsia="黑体"/>
              <w:b/>
            </w:rPr>
            <w:t>五部分 附表</w:t>
          </w:r>
          <w:r>
            <w:rPr>
              <w:b/>
            </w:rPr>
            <w:tab/>
          </w:r>
          <w:r>
            <w:rPr>
              <w:b/>
            </w:rPr>
            <w:fldChar w:fldCharType="begin"/>
          </w:r>
          <w:r>
            <w:rPr>
              <w:b/>
            </w:rPr>
            <w:instrText xml:space="preserve"> PAGEREF _Toc2131 \h </w:instrText>
          </w:r>
          <w:r>
            <w:rPr>
              <w:b/>
            </w:rPr>
            <w:fldChar w:fldCharType="separate"/>
          </w:r>
          <w:r>
            <w:rPr>
              <w:b/>
            </w:rPr>
            <w:t>26</w:t>
          </w:r>
          <w:r>
            <w:rPr>
              <w:b/>
            </w:rPr>
            <w:fldChar w:fldCharType="end"/>
          </w:r>
          <w:r>
            <w:rPr>
              <w:b/>
            </w:rPr>
            <w:fldChar w:fldCharType="end"/>
          </w:r>
        </w:p>
        <w:p>
          <w:pPr>
            <w:pStyle w:val="35"/>
            <w:tabs>
              <w:tab w:val="right" w:leader="dot" w:pos="8306"/>
            </w:tabs>
          </w:pPr>
          <w:r>
            <w:fldChar w:fldCharType="begin"/>
          </w:r>
          <w:r>
            <w:instrText xml:space="preserve"> HYPERLINK \l _Toc20788 </w:instrText>
          </w:r>
          <w:r>
            <w:fldChar w:fldCharType="separate"/>
          </w:r>
          <w:r>
            <w:rPr>
              <w:rFonts w:hint="eastAsia" w:ascii="仿宋" w:hAnsi="仿宋" w:eastAsia="仿宋"/>
            </w:rPr>
            <w:t>一、收</w:t>
          </w:r>
          <w:r>
            <w:rPr>
              <w:rFonts w:hint="eastAsia" w:ascii="仿宋" w:hAnsi="仿宋" w:eastAsia="仿宋"/>
              <w:bCs w:val="0"/>
            </w:rPr>
            <w:t>入支出决算总表</w:t>
          </w:r>
          <w:r>
            <w:tab/>
          </w:r>
          <w:r>
            <w:fldChar w:fldCharType="begin"/>
          </w:r>
          <w:r>
            <w:instrText xml:space="preserve"> PAGEREF _Toc20788 \h </w:instrText>
          </w:r>
          <w:r>
            <w:fldChar w:fldCharType="separate"/>
          </w:r>
          <w:r>
            <w:t>26</w:t>
          </w:r>
          <w:r>
            <w:fldChar w:fldCharType="end"/>
          </w:r>
          <w:r>
            <w:fldChar w:fldCharType="end"/>
          </w:r>
        </w:p>
        <w:p>
          <w:pPr>
            <w:pStyle w:val="35"/>
            <w:tabs>
              <w:tab w:val="right" w:leader="dot" w:pos="8306"/>
            </w:tabs>
          </w:pPr>
          <w:r>
            <w:fldChar w:fldCharType="begin"/>
          </w:r>
          <w:r>
            <w:instrText xml:space="preserve"> HYPERLINK \l _Toc1946 </w:instrText>
          </w:r>
          <w:r>
            <w:fldChar w:fldCharType="separate"/>
          </w:r>
          <w:r>
            <w:rPr>
              <w:rFonts w:hint="eastAsia" w:ascii="仿宋" w:hAnsi="仿宋" w:eastAsia="仿宋"/>
            </w:rPr>
            <w:t>二、收</w:t>
          </w:r>
          <w:r>
            <w:rPr>
              <w:rFonts w:hint="eastAsia" w:ascii="仿宋" w:hAnsi="仿宋" w:eastAsia="仿宋"/>
              <w:bCs w:val="0"/>
            </w:rPr>
            <w:t>入决算表</w:t>
          </w:r>
          <w:r>
            <w:tab/>
          </w:r>
          <w:r>
            <w:fldChar w:fldCharType="begin"/>
          </w:r>
          <w:r>
            <w:instrText xml:space="preserve"> PAGEREF _Toc1946 \h </w:instrText>
          </w:r>
          <w:r>
            <w:fldChar w:fldCharType="separate"/>
          </w:r>
          <w:r>
            <w:t>26</w:t>
          </w:r>
          <w:r>
            <w:fldChar w:fldCharType="end"/>
          </w:r>
          <w:r>
            <w:fldChar w:fldCharType="end"/>
          </w:r>
        </w:p>
        <w:p>
          <w:pPr>
            <w:pStyle w:val="35"/>
            <w:tabs>
              <w:tab w:val="right" w:leader="dot" w:pos="8306"/>
            </w:tabs>
          </w:pPr>
          <w:r>
            <w:fldChar w:fldCharType="begin"/>
          </w:r>
          <w:r>
            <w:instrText xml:space="preserve"> HYPERLINK \l _Toc28861 </w:instrText>
          </w:r>
          <w:r>
            <w:fldChar w:fldCharType="separate"/>
          </w:r>
          <w:r>
            <w:rPr>
              <w:rFonts w:hint="eastAsia" w:ascii="仿宋" w:hAnsi="仿宋" w:eastAsia="仿宋"/>
              <w:bCs w:val="0"/>
            </w:rPr>
            <w:t>三、</w:t>
          </w:r>
          <w:r>
            <w:rPr>
              <w:rFonts w:hint="eastAsia" w:ascii="仿宋" w:hAnsi="仿宋" w:eastAsia="仿宋"/>
            </w:rPr>
            <w:t>支</w:t>
          </w:r>
          <w:r>
            <w:rPr>
              <w:rFonts w:hint="eastAsia" w:ascii="仿宋" w:hAnsi="仿宋" w:eastAsia="仿宋"/>
              <w:bCs w:val="0"/>
            </w:rPr>
            <w:t>出决算表</w:t>
          </w:r>
          <w:r>
            <w:tab/>
          </w:r>
          <w:r>
            <w:fldChar w:fldCharType="begin"/>
          </w:r>
          <w:r>
            <w:instrText xml:space="preserve"> PAGEREF _Toc28861 \h </w:instrText>
          </w:r>
          <w:r>
            <w:fldChar w:fldCharType="separate"/>
          </w:r>
          <w:r>
            <w:t>26</w:t>
          </w:r>
          <w:r>
            <w:fldChar w:fldCharType="end"/>
          </w:r>
          <w:r>
            <w:fldChar w:fldCharType="end"/>
          </w:r>
        </w:p>
        <w:p>
          <w:pPr>
            <w:pStyle w:val="35"/>
            <w:tabs>
              <w:tab w:val="right" w:leader="dot" w:pos="8306"/>
            </w:tabs>
          </w:pPr>
          <w:r>
            <w:fldChar w:fldCharType="begin"/>
          </w:r>
          <w:r>
            <w:instrText xml:space="preserve"> HYPERLINK \l _Toc4613 </w:instrText>
          </w:r>
          <w:r>
            <w:fldChar w:fldCharType="separate"/>
          </w:r>
          <w:r>
            <w:rPr>
              <w:rFonts w:hint="eastAsia" w:ascii="仿宋" w:hAnsi="仿宋" w:eastAsia="仿宋"/>
              <w:bCs w:val="0"/>
            </w:rPr>
            <w:t>四、</w:t>
          </w:r>
          <w:r>
            <w:rPr>
              <w:rFonts w:hint="eastAsia" w:ascii="仿宋" w:hAnsi="仿宋" w:eastAsia="仿宋"/>
            </w:rPr>
            <w:t>财</w:t>
          </w:r>
          <w:r>
            <w:rPr>
              <w:rFonts w:hint="eastAsia" w:ascii="仿宋" w:hAnsi="仿宋" w:eastAsia="仿宋"/>
              <w:bCs w:val="0"/>
            </w:rPr>
            <w:t>政拨款收入支出决算总表</w:t>
          </w:r>
          <w:r>
            <w:tab/>
          </w:r>
          <w:r>
            <w:fldChar w:fldCharType="begin"/>
          </w:r>
          <w:r>
            <w:instrText xml:space="preserve"> PAGEREF _Toc4613 \h </w:instrText>
          </w:r>
          <w:r>
            <w:fldChar w:fldCharType="separate"/>
          </w:r>
          <w:r>
            <w:t>26</w:t>
          </w:r>
          <w:r>
            <w:fldChar w:fldCharType="end"/>
          </w:r>
          <w:r>
            <w:fldChar w:fldCharType="end"/>
          </w:r>
        </w:p>
        <w:p>
          <w:pPr>
            <w:pStyle w:val="35"/>
            <w:tabs>
              <w:tab w:val="right" w:leader="dot" w:pos="8306"/>
            </w:tabs>
          </w:pPr>
          <w:r>
            <w:fldChar w:fldCharType="begin"/>
          </w:r>
          <w:r>
            <w:instrText xml:space="preserve"> HYPERLINK \l _Toc21254 </w:instrText>
          </w:r>
          <w:r>
            <w:fldChar w:fldCharType="separate"/>
          </w:r>
          <w:r>
            <w:rPr>
              <w:rFonts w:hint="eastAsia" w:ascii="仿宋" w:hAnsi="仿宋" w:eastAsia="仿宋"/>
              <w:bCs w:val="0"/>
            </w:rPr>
            <w:t>五、</w:t>
          </w:r>
          <w:r>
            <w:rPr>
              <w:rFonts w:hint="eastAsia" w:ascii="仿宋" w:hAnsi="仿宋" w:eastAsia="仿宋"/>
            </w:rPr>
            <w:t>财</w:t>
          </w:r>
          <w:r>
            <w:rPr>
              <w:rFonts w:hint="eastAsia" w:ascii="仿宋" w:hAnsi="仿宋" w:eastAsia="仿宋"/>
              <w:bCs w:val="0"/>
            </w:rPr>
            <w:t>政拨款支出决算明细表</w:t>
          </w:r>
          <w:r>
            <w:tab/>
          </w:r>
          <w:r>
            <w:fldChar w:fldCharType="begin"/>
          </w:r>
          <w:r>
            <w:instrText xml:space="preserve"> PAGEREF _Toc21254 \h </w:instrText>
          </w:r>
          <w:r>
            <w:fldChar w:fldCharType="separate"/>
          </w:r>
          <w:r>
            <w:t>26</w:t>
          </w:r>
          <w:r>
            <w:fldChar w:fldCharType="end"/>
          </w:r>
          <w:r>
            <w:fldChar w:fldCharType="end"/>
          </w:r>
        </w:p>
        <w:p>
          <w:pPr>
            <w:pStyle w:val="35"/>
            <w:tabs>
              <w:tab w:val="right" w:leader="dot" w:pos="8306"/>
            </w:tabs>
          </w:pPr>
          <w:r>
            <w:fldChar w:fldCharType="begin"/>
          </w:r>
          <w:r>
            <w:instrText xml:space="preserve"> HYPERLINK \l _Toc12454 </w:instrText>
          </w:r>
          <w:r>
            <w:fldChar w:fldCharType="separate"/>
          </w:r>
          <w:r>
            <w:rPr>
              <w:rFonts w:hint="eastAsia" w:ascii="仿宋" w:hAnsi="仿宋" w:eastAsia="仿宋"/>
              <w:bCs w:val="0"/>
            </w:rPr>
            <w:t>六、</w:t>
          </w:r>
          <w:r>
            <w:rPr>
              <w:rFonts w:hint="eastAsia" w:ascii="仿宋" w:hAnsi="仿宋" w:eastAsia="仿宋"/>
            </w:rPr>
            <w:t>一</w:t>
          </w:r>
          <w:r>
            <w:rPr>
              <w:rFonts w:hint="eastAsia" w:ascii="仿宋" w:hAnsi="仿宋" w:eastAsia="仿宋"/>
              <w:bCs w:val="0"/>
            </w:rPr>
            <w:t>般公共预算财政拨款支出决算表</w:t>
          </w:r>
          <w:r>
            <w:tab/>
          </w:r>
          <w:r>
            <w:fldChar w:fldCharType="begin"/>
          </w:r>
          <w:r>
            <w:instrText xml:space="preserve"> PAGEREF _Toc12454 \h </w:instrText>
          </w:r>
          <w:r>
            <w:fldChar w:fldCharType="separate"/>
          </w:r>
          <w:r>
            <w:t>26</w:t>
          </w:r>
          <w:r>
            <w:fldChar w:fldCharType="end"/>
          </w:r>
          <w:r>
            <w:fldChar w:fldCharType="end"/>
          </w:r>
        </w:p>
        <w:p>
          <w:pPr>
            <w:pStyle w:val="35"/>
            <w:tabs>
              <w:tab w:val="right" w:leader="dot" w:pos="8306"/>
            </w:tabs>
          </w:pPr>
          <w:r>
            <w:fldChar w:fldCharType="begin"/>
          </w:r>
          <w:r>
            <w:instrText xml:space="preserve"> HYPERLINK \l _Toc18512 </w:instrText>
          </w:r>
          <w:r>
            <w:fldChar w:fldCharType="separate"/>
          </w:r>
          <w:r>
            <w:rPr>
              <w:rFonts w:hint="eastAsia" w:ascii="仿宋" w:hAnsi="仿宋" w:eastAsia="仿宋"/>
              <w:bCs w:val="0"/>
            </w:rPr>
            <w:t>七、</w:t>
          </w:r>
          <w:r>
            <w:rPr>
              <w:rFonts w:hint="eastAsia" w:ascii="仿宋" w:hAnsi="仿宋" w:eastAsia="仿宋"/>
            </w:rPr>
            <w:t>一</w:t>
          </w:r>
          <w:r>
            <w:rPr>
              <w:rFonts w:hint="eastAsia" w:ascii="仿宋" w:hAnsi="仿宋" w:eastAsia="仿宋"/>
              <w:bCs w:val="0"/>
            </w:rPr>
            <w:t>般公共预算财政拨款支出决算明细表</w:t>
          </w:r>
          <w:r>
            <w:tab/>
          </w:r>
          <w:r>
            <w:fldChar w:fldCharType="begin"/>
          </w:r>
          <w:r>
            <w:instrText xml:space="preserve"> PAGEREF _Toc18512 \h </w:instrText>
          </w:r>
          <w:r>
            <w:fldChar w:fldCharType="separate"/>
          </w:r>
          <w:r>
            <w:t>26</w:t>
          </w:r>
          <w:r>
            <w:fldChar w:fldCharType="end"/>
          </w:r>
          <w:r>
            <w:fldChar w:fldCharType="end"/>
          </w:r>
        </w:p>
        <w:p>
          <w:pPr>
            <w:pStyle w:val="35"/>
            <w:tabs>
              <w:tab w:val="right" w:leader="dot" w:pos="8306"/>
            </w:tabs>
          </w:pPr>
          <w:r>
            <w:fldChar w:fldCharType="begin"/>
          </w:r>
          <w:r>
            <w:instrText xml:space="preserve"> HYPERLINK \l _Toc30817 </w:instrText>
          </w:r>
          <w:r>
            <w:fldChar w:fldCharType="separate"/>
          </w:r>
          <w:r>
            <w:rPr>
              <w:rFonts w:hint="eastAsia" w:ascii="仿宋" w:hAnsi="仿宋" w:eastAsia="仿宋"/>
              <w:bCs w:val="0"/>
            </w:rPr>
            <w:t>八、</w:t>
          </w:r>
          <w:r>
            <w:rPr>
              <w:rFonts w:hint="eastAsia" w:ascii="仿宋" w:hAnsi="仿宋" w:eastAsia="仿宋"/>
            </w:rPr>
            <w:t>一</w:t>
          </w:r>
          <w:r>
            <w:rPr>
              <w:rFonts w:hint="eastAsia" w:ascii="仿宋" w:hAnsi="仿宋" w:eastAsia="仿宋"/>
              <w:bCs w:val="0"/>
            </w:rPr>
            <w:t>般公共预算财政拨款基本支出决算表</w:t>
          </w:r>
          <w:r>
            <w:tab/>
          </w:r>
          <w:r>
            <w:fldChar w:fldCharType="begin"/>
          </w:r>
          <w:r>
            <w:instrText xml:space="preserve"> PAGEREF _Toc30817 \h </w:instrText>
          </w:r>
          <w:r>
            <w:fldChar w:fldCharType="separate"/>
          </w:r>
          <w:r>
            <w:t>26</w:t>
          </w:r>
          <w:r>
            <w:fldChar w:fldCharType="end"/>
          </w:r>
          <w:r>
            <w:fldChar w:fldCharType="end"/>
          </w:r>
        </w:p>
        <w:p>
          <w:pPr>
            <w:pStyle w:val="35"/>
            <w:tabs>
              <w:tab w:val="right" w:leader="dot" w:pos="8306"/>
            </w:tabs>
          </w:pPr>
          <w:r>
            <w:fldChar w:fldCharType="begin"/>
          </w:r>
          <w:r>
            <w:instrText xml:space="preserve"> HYPERLINK \l _Toc10477 </w:instrText>
          </w:r>
          <w:r>
            <w:fldChar w:fldCharType="separate"/>
          </w:r>
          <w:r>
            <w:rPr>
              <w:rFonts w:hint="eastAsia" w:ascii="仿宋" w:hAnsi="仿宋" w:eastAsia="仿宋"/>
              <w:bCs w:val="0"/>
            </w:rPr>
            <w:t>九、</w:t>
          </w:r>
          <w:r>
            <w:rPr>
              <w:rFonts w:hint="eastAsia" w:ascii="仿宋" w:hAnsi="仿宋" w:eastAsia="仿宋"/>
            </w:rPr>
            <w:t>一</w:t>
          </w:r>
          <w:r>
            <w:rPr>
              <w:rFonts w:hint="eastAsia" w:ascii="仿宋" w:hAnsi="仿宋" w:eastAsia="仿宋"/>
              <w:bCs w:val="0"/>
            </w:rPr>
            <w:t>般公共预算财政拨款项目支出决算表</w:t>
          </w:r>
          <w:r>
            <w:tab/>
          </w:r>
          <w:r>
            <w:fldChar w:fldCharType="begin"/>
          </w:r>
          <w:r>
            <w:instrText xml:space="preserve"> PAGEREF _Toc10477 \h </w:instrText>
          </w:r>
          <w:r>
            <w:fldChar w:fldCharType="separate"/>
          </w:r>
          <w:r>
            <w:t>26</w:t>
          </w:r>
          <w:r>
            <w:fldChar w:fldCharType="end"/>
          </w:r>
          <w:r>
            <w:fldChar w:fldCharType="end"/>
          </w:r>
        </w:p>
        <w:p>
          <w:pPr>
            <w:pStyle w:val="35"/>
            <w:tabs>
              <w:tab w:val="right" w:leader="dot" w:pos="8306"/>
            </w:tabs>
          </w:pPr>
          <w:r>
            <w:fldChar w:fldCharType="begin"/>
          </w:r>
          <w:r>
            <w:instrText xml:space="preserve"> HYPERLINK \l _Toc9024 </w:instrText>
          </w:r>
          <w:r>
            <w:fldChar w:fldCharType="separate"/>
          </w:r>
          <w:r>
            <w:rPr>
              <w:rFonts w:hint="eastAsia" w:ascii="仿宋" w:hAnsi="仿宋" w:eastAsia="仿宋"/>
              <w:bCs w:val="0"/>
            </w:rPr>
            <w:t>十、</w:t>
          </w:r>
          <w:r>
            <w:rPr>
              <w:rFonts w:hint="eastAsia" w:ascii="仿宋" w:hAnsi="仿宋" w:eastAsia="仿宋"/>
            </w:rPr>
            <w:t>政</w:t>
          </w:r>
          <w:r>
            <w:rPr>
              <w:rFonts w:hint="eastAsia" w:ascii="仿宋" w:hAnsi="仿宋" w:eastAsia="仿宋"/>
              <w:bCs w:val="0"/>
            </w:rPr>
            <w:t>府性基金预算财政拨款收入支出决算表</w:t>
          </w:r>
          <w:r>
            <w:tab/>
          </w:r>
          <w:r>
            <w:fldChar w:fldCharType="begin"/>
          </w:r>
          <w:r>
            <w:instrText xml:space="preserve"> PAGEREF _Toc9024 \h </w:instrText>
          </w:r>
          <w:r>
            <w:fldChar w:fldCharType="separate"/>
          </w:r>
          <w:r>
            <w:t>26</w:t>
          </w:r>
          <w:r>
            <w:fldChar w:fldCharType="end"/>
          </w:r>
          <w:r>
            <w:fldChar w:fldCharType="end"/>
          </w:r>
        </w:p>
        <w:p>
          <w:pPr>
            <w:pStyle w:val="35"/>
            <w:tabs>
              <w:tab w:val="right" w:leader="dot" w:pos="8306"/>
            </w:tabs>
          </w:pPr>
          <w:r>
            <w:fldChar w:fldCharType="begin"/>
          </w:r>
          <w:r>
            <w:instrText xml:space="preserve"> HYPERLINK \l _Toc26068 </w:instrText>
          </w:r>
          <w:r>
            <w:fldChar w:fldCharType="separate"/>
          </w:r>
          <w:r>
            <w:rPr>
              <w:rFonts w:hint="eastAsia" w:ascii="仿宋" w:hAnsi="仿宋" w:eastAsia="仿宋"/>
              <w:bCs w:val="0"/>
            </w:rPr>
            <w:t>十一、</w:t>
          </w:r>
          <w:r>
            <w:rPr>
              <w:rFonts w:hint="eastAsia" w:ascii="仿宋" w:hAnsi="仿宋" w:eastAsia="仿宋"/>
            </w:rPr>
            <w:t>国</w:t>
          </w:r>
          <w:r>
            <w:rPr>
              <w:rFonts w:hint="eastAsia" w:ascii="仿宋" w:hAnsi="仿宋" w:eastAsia="仿宋"/>
              <w:bCs w:val="0"/>
            </w:rPr>
            <w:t>有资本经营预算财政拨款收入支出决算表</w:t>
          </w:r>
          <w:r>
            <w:tab/>
          </w:r>
          <w:r>
            <w:fldChar w:fldCharType="begin"/>
          </w:r>
          <w:r>
            <w:instrText xml:space="preserve"> PAGEREF _Toc26068 \h </w:instrText>
          </w:r>
          <w:r>
            <w:fldChar w:fldCharType="separate"/>
          </w:r>
          <w:r>
            <w:t>26</w:t>
          </w:r>
          <w:r>
            <w:fldChar w:fldCharType="end"/>
          </w:r>
          <w:r>
            <w:fldChar w:fldCharType="end"/>
          </w:r>
        </w:p>
        <w:p>
          <w:pPr>
            <w:pStyle w:val="35"/>
            <w:tabs>
              <w:tab w:val="right" w:leader="dot" w:pos="8306"/>
            </w:tabs>
          </w:pPr>
          <w:r>
            <w:fldChar w:fldCharType="begin"/>
          </w:r>
          <w:r>
            <w:instrText xml:space="preserve"> HYPERLINK \l _Toc18723 </w:instrText>
          </w:r>
          <w:r>
            <w:fldChar w:fldCharType="separate"/>
          </w:r>
          <w:r>
            <w:rPr>
              <w:rFonts w:hint="eastAsia" w:ascii="仿宋" w:hAnsi="仿宋" w:eastAsia="仿宋"/>
              <w:bCs w:val="0"/>
            </w:rPr>
            <w:t>十二、国有资本经营预算财政拨款支出决算表</w:t>
          </w:r>
          <w:r>
            <w:tab/>
          </w:r>
          <w:r>
            <w:fldChar w:fldCharType="begin"/>
          </w:r>
          <w:r>
            <w:instrText xml:space="preserve"> PAGEREF _Toc18723 \h </w:instrText>
          </w:r>
          <w:r>
            <w:fldChar w:fldCharType="separate"/>
          </w:r>
          <w:r>
            <w:t>26</w:t>
          </w:r>
          <w:r>
            <w:fldChar w:fldCharType="end"/>
          </w:r>
          <w:r>
            <w:fldChar w:fldCharType="end"/>
          </w:r>
        </w:p>
        <w:p>
          <w:pPr>
            <w:pStyle w:val="35"/>
            <w:tabs>
              <w:tab w:val="right" w:leader="dot" w:pos="8306"/>
            </w:tabs>
          </w:pPr>
          <w:r>
            <w:fldChar w:fldCharType="begin"/>
          </w:r>
          <w:r>
            <w:instrText xml:space="preserve"> HYPERLINK \l _Toc7938 </w:instrText>
          </w:r>
          <w:r>
            <w:fldChar w:fldCharType="separate"/>
          </w:r>
          <w:r>
            <w:rPr>
              <w:rFonts w:hint="eastAsia" w:ascii="仿宋" w:hAnsi="仿宋" w:eastAsia="仿宋"/>
              <w:bCs w:val="0"/>
            </w:rPr>
            <w:t>十三、财政拨款“三公”经费支出决算表</w:t>
          </w:r>
          <w:r>
            <w:tab/>
          </w:r>
          <w:r>
            <w:fldChar w:fldCharType="begin"/>
          </w:r>
          <w:r>
            <w:instrText xml:space="preserve"> PAGEREF _Toc7938 \h </w:instrText>
          </w:r>
          <w:r>
            <w:fldChar w:fldCharType="separate"/>
          </w:r>
          <w:r>
            <w:t>26</w:t>
          </w:r>
          <w:r>
            <w:fldChar w:fldCharType="end"/>
          </w:r>
          <w:r>
            <w:fldChar w:fldCharType="end"/>
          </w:r>
        </w:p>
        <w:p>
          <w:pPr>
            <w:rPr>
              <w:b/>
            </w:rPr>
          </w:pPr>
          <w:r>
            <w:rPr>
              <w:b/>
            </w:rPr>
            <w:fldChar w:fldCharType="end"/>
          </w:r>
        </w:p>
      </w:sdtContent>
    </w:sdt>
    <w:p>
      <w:pPr>
        <w:rPr>
          <w:b/>
        </w:rPr>
      </w:pPr>
    </w:p>
    <w:p>
      <w:pPr>
        <w:widowControl/>
        <w:spacing w:line="440" w:lineRule="exact"/>
        <w:jc w:val="left"/>
        <w:rPr>
          <w:rFonts w:ascii="仿宋" w:hAnsi="仿宋" w:eastAsia="仿宋"/>
          <w:bCs/>
          <w:kern w:val="44"/>
          <w:sz w:val="24"/>
        </w:rPr>
      </w:pPr>
      <w:r>
        <w:rPr>
          <w:rFonts w:ascii="仿宋" w:hAnsi="仿宋" w:eastAsia="仿宋"/>
          <w:b/>
          <w:sz w:val="24"/>
        </w:rPr>
        <w:br w:type="page"/>
      </w:r>
    </w:p>
    <w:p>
      <w:pPr>
        <w:pStyle w:val="3"/>
        <w:jc w:val="center"/>
        <w:rPr>
          <w:rStyle w:val="28"/>
          <w:rFonts w:ascii="黑体" w:hAnsi="黑体" w:eastAsia="黑体"/>
          <w:b/>
          <w:bCs w:val="0"/>
        </w:rPr>
      </w:pPr>
      <w:bookmarkStart w:id="17" w:name="_Toc2621"/>
      <w:r>
        <w:rPr>
          <w:rFonts w:hint="eastAsia" w:ascii="黑体" w:hAnsi="黑体" w:eastAsia="黑体"/>
          <w:b w:val="0"/>
        </w:rPr>
        <w:t xml:space="preserve">第一部分 </w:t>
      </w:r>
      <w:r>
        <w:rPr>
          <w:rFonts w:hint="eastAsia" w:ascii="黑体" w:hAnsi="黑体" w:eastAsia="黑体"/>
          <w:b w:val="0"/>
          <w:lang w:val="en-US" w:eastAsia="zh-CN"/>
        </w:rPr>
        <w:t>部门</w:t>
      </w:r>
      <w:r>
        <w:rPr>
          <w:rStyle w:val="28"/>
          <w:rFonts w:hint="eastAsia" w:ascii="黑体" w:hAnsi="黑体" w:eastAsia="黑体"/>
          <w:b w:val="0"/>
          <w:bCs w:val="0"/>
        </w:rPr>
        <w:t>概况</w:t>
      </w:r>
      <w:bookmarkEnd w:id="15"/>
      <w:bookmarkEnd w:id="16"/>
      <w:bookmarkEnd w:id="17"/>
    </w:p>
    <w:p>
      <w:pPr>
        <w:spacing w:line="576" w:lineRule="exact"/>
        <w:outlineLvl w:val="1"/>
        <w:rPr>
          <w:rFonts w:hint="eastAsia" w:ascii="黑体" w:hAnsi="黑体" w:eastAsia="黑体"/>
          <w:color w:val="000000"/>
          <w:kern w:val="2"/>
          <w:sz w:val="32"/>
          <w:highlight w:val="none"/>
          <w:lang w:val="zh-CN"/>
        </w:rPr>
      </w:pPr>
      <w:bookmarkStart w:id="18" w:name="_Toc14958"/>
      <w:bookmarkStart w:id="19" w:name="_Toc17318"/>
      <w:r>
        <w:rPr>
          <w:rFonts w:hint="eastAsia" w:ascii="黑体" w:hAnsi="黑体" w:eastAsia="黑体"/>
          <w:color w:val="000000"/>
          <w:kern w:val="2"/>
          <w:sz w:val="32"/>
          <w:highlight w:val="none"/>
          <w:lang w:val="zh-CN"/>
        </w:rPr>
        <w:t>一、部门职责</w:t>
      </w:r>
      <w:bookmarkEnd w:id="18"/>
    </w:p>
    <w:p>
      <w:pPr>
        <w:spacing w:line="576" w:lineRule="exact"/>
        <w:ind w:firstLine="640" w:firstLineChars="200"/>
        <w:rPr>
          <w:rFonts w:hint="eastAsia" w:ascii="楷体_GB2312" w:hAnsi="仿宋" w:eastAsia="楷体_GB2312" w:cs="仿宋"/>
          <w:sz w:val="32"/>
          <w:szCs w:val="32"/>
          <w:highlight w:val="none"/>
          <w:lang w:val="zh-CN"/>
        </w:rPr>
      </w:pPr>
      <w:r>
        <w:rPr>
          <w:rFonts w:hint="eastAsia" w:ascii="楷体_GB2312" w:hAnsi="仿宋" w:eastAsia="楷体_GB2312" w:cs="仿宋"/>
          <w:sz w:val="32"/>
          <w:szCs w:val="32"/>
          <w:highlight w:val="none"/>
          <w:lang w:val="zh-CN"/>
        </w:rPr>
        <w:t>（一)主要职能</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kern w:val="2"/>
          <w:sz w:val="32"/>
          <w:highlight w:val="none"/>
          <w:lang w:val="zh-CN"/>
        </w:rPr>
      </w:pPr>
      <w:r>
        <w:rPr>
          <w:rFonts w:hint="eastAsia" w:ascii="仿宋_GB2312" w:hAnsi="仿宋_GB2312" w:eastAsia="仿宋_GB2312" w:cs="仿宋_GB2312"/>
          <w:sz w:val="32"/>
          <w:szCs w:val="32"/>
          <w:highlight w:val="none"/>
          <w:lang w:val="zh-CN"/>
        </w:rPr>
        <w:t>广元市交通技工学校直属于广元市交通运输局，差额拨款事业单位性质。学校主要从事中职学历教育、大专及以上学历层次函授教育、职业技能鉴定、道路运输从业资格证培训、汽车驾驶员培训、内河船舶船员培训、交通执法人员培训及其他短期培训。学校具有年教学培训6000人以上办学规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olor w:val="000000"/>
          <w:kern w:val="2"/>
          <w:sz w:val="32"/>
          <w:highlight w:val="none"/>
          <w:lang w:val="zh-CN"/>
        </w:rPr>
      </w:pPr>
      <w:r>
        <w:rPr>
          <w:rFonts w:hint="eastAsia" w:ascii="黑体" w:hAnsi="黑体" w:eastAsia="黑体"/>
          <w:color w:val="000000"/>
          <w:kern w:val="2"/>
          <w:sz w:val="32"/>
          <w:highlight w:val="none"/>
          <w:lang w:val="zh-CN"/>
        </w:rPr>
        <w:t>（二)机构资产</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zh-CN"/>
        </w:rPr>
      </w:pPr>
      <w:r>
        <w:rPr>
          <w:rFonts w:hint="eastAsia" w:ascii="仿宋_GB2312" w:hAnsi="仿宋_GB2312" w:eastAsia="仿宋_GB2312" w:cs="仿宋_GB2312"/>
          <w:sz w:val="32"/>
          <w:szCs w:val="32"/>
          <w:highlight w:val="none"/>
          <w:lang w:val="zh-CN"/>
        </w:rPr>
        <w:t>学校现有固定资产7023.66万元，校区3处，其中：南校区位于南河老鹰嘴，东校区位于东坝滨河北路，在大石镇龙洞碥与当地村组联办机动车驾驶员训练场1处，另有大石镇青岩村实训楼，学生宿舍1处。学校总占地面积120余亩，现有教学综合楼2幢，建筑面积11728.44m2，设有教室、电教室、模拟教室、多媒体教学室和实习车间，配备了全套教学模拟设备和电教系统。学校现有驾驶教练车辆53台。建校以来，累计为社会培养输送各类专业人才10万人，为全市交通运输事业发展提供了智力支持和人才保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仿宋" w:eastAsia="楷体_GB2312" w:cs="仿宋"/>
          <w:sz w:val="32"/>
          <w:szCs w:val="32"/>
          <w:highlight w:val="none"/>
          <w:lang w:val="zh-CN"/>
        </w:rPr>
      </w:pPr>
      <w:r>
        <w:rPr>
          <w:rFonts w:hint="eastAsia" w:ascii="楷体_GB2312" w:hAnsi="仿宋" w:eastAsia="楷体_GB2312" w:cs="仿宋"/>
          <w:sz w:val="32"/>
          <w:szCs w:val="32"/>
          <w:highlight w:val="none"/>
          <w:lang w:val="zh-CN"/>
        </w:rPr>
        <w:t>（三)人员编制</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zh-CN"/>
        </w:rPr>
      </w:pPr>
      <w:r>
        <w:rPr>
          <w:rFonts w:hint="eastAsia" w:ascii="仿宋_GB2312" w:hAnsi="仿宋_GB2312" w:eastAsia="仿宋_GB2312" w:cs="仿宋_GB2312"/>
          <w:sz w:val="32"/>
          <w:szCs w:val="32"/>
          <w:highlight w:val="none"/>
          <w:lang w:val="zh-CN"/>
        </w:rPr>
        <w:t>学校现有60人，人员构成多样，有全额事业编制，差额事业编制，还有聘用人员。广元市机构编制委员会核定学校人员编制33人，2023年8月底改制，年末实际在编1</w:t>
      </w:r>
      <w:r>
        <w:rPr>
          <w:rFonts w:hint="eastAsia" w:ascii="仿宋_GB2312" w:hAnsi="仿宋_GB2312" w:eastAsia="仿宋_GB2312" w:cs="仿宋_GB2312"/>
          <w:sz w:val="32"/>
          <w:szCs w:val="32"/>
          <w:highlight w:val="none"/>
          <w:lang w:val="en-US" w:eastAsia="zh-CN"/>
        </w:rPr>
        <w:t>6</w:t>
      </w:r>
      <w:r>
        <w:rPr>
          <w:rFonts w:hint="eastAsia" w:ascii="仿宋_GB2312" w:hAnsi="仿宋_GB2312" w:eastAsia="仿宋_GB2312" w:cs="仿宋_GB2312"/>
          <w:sz w:val="32"/>
          <w:szCs w:val="32"/>
          <w:highlight w:val="none"/>
          <w:lang w:val="zh-CN"/>
        </w:rPr>
        <w:t>人，退休17人。</w:t>
      </w:r>
    </w:p>
    <w:p>
      <w:pPr>
        <w:spacing w:line="576" w:lineRule="exact"/>
        <w:outlineLvl w:val="1"/>
        <w:rPr>
          <w:rFonts w:hint="eastAsia" w:ascii="黑体" w:hAnsi="黑体" w:eastAsia="黑体"/>
          <w:color w:val="000000"/>
          <w:kern w:val="2"/>
          <w:sz w:val="32"/>
          <w:highlight w:val="none"/>
          <w:lang w:val="zh-CN"/>
        </w:rPr>
      </w:pPr>
      <w:bookmarkStart w:id="20" w:name="_Toc31052"/>
      <w:r>
        <w:rPr>
          <w:rFonts w:hint="eastAsia" w:ascii="黑体" w:hAnsi="黑体" w:eastAsia="黑体"/>
          <w:color w:val="000000"/>
          <w:kern w:val="2"/>
          <w:sz w:val="32"/>
          <w:highlight w:val="none"/>
          <w:lang w:val="zh-CN"/>
        </w:rPr>
        <w:t>二、机构设置</w:t>
      </w:r>
      <w:bookmarkEnd w:id="2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zh-CN"/>
        </w:rPr>
      </w:pPr>
      <w:r>
        <w:rPr>
          <w:rFonts w:hint="eastAsia" w:ascii="仿宋_GB2312" w:hAnsi="仿宋_GB2312" w:eastAsia="仿宋_GB2312" w:cs="仿宋_GB2312"/>
          <w:sz w:val="32"/>
          <w:szCs w:val="32"/>
          <w:highlight w:val="none"/>
          <w:lang w:val="zh-CN"/>
        </w:rPr>
        <w:t>市交通技工学校为一级预算单位，无下属二级预算单位。</w:t>
      </w:r>
    </w:p>
    <w:bookmarkEnd w:id="19"/>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黑体" w:hAnsi="黑体" w:eastAsia="黑体" w:cs="Times New Roman"/>
          <w:b w:val="0"/>
          <w:bCs/>
          <w:kern w:val="44"/>
          <w:sz w:val="44"/>
          <w:szCs w:val="44"/>
          <w:lang w:val="en-US" w:eastAsia="zh-CN" w:bidi="ar-SA"/>
        </w:rPr>
      </w:pPr>
      <w:bookmarkStart w:id="21" w:name="_Toc15396602"/>
      <w:bookmarkStart w:id="22" w:name="_Toc15377204"/>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jc w:val="center"/>
        <w:textAlignment w:val="auto"/>
        <w:outlineLvl w:val="0"/>
        <w:rPr>
          <w:rFonts w:hint="eastAsia" w:ascii="黑体" w:hAnsi="黑体" w:eastAsia="黑体" w:cs="Times New Roman"/>
          <w:b w:val="0"/>
          <w:bCs/>
          <w:kern w:val="44"/>
          <w:sz w:val="44"/>
          <w:szCs w:val="44"/>
          <w:lang w:val="en-US" w:eastAsia="zh-CN" w:bidi="ar-SA"/>
        </w:rPr>
      </w:pPr>
      <w:bookmarkStart w:id="23" w:name="_Toc25747"/>
      <w:r>
        <w:rPr>
          <w:rFonts w:hint="eastAsia" w:ascii="黑体" w:hAnsi="黑体" w:eastAsia="黑体" w:cs="Times New Roman"/>
          <w:b w:val="0"/>
          <w:bCs/>
          <w:kern w:val="44"/>
          <w:sz w:val="44"/>
          <w:szCs w:val="44"/>
          <w:lang w:val="en-US" w:eastAsia="zh-CN" w:bidi="ar-SA"/>
        </w:rPr>
        <w:t>2023年度部门决算情况说明</w:t>
      </w:r>
      <w:bookmarkEnd w:id="21"/>
      <w:bookmarkEnd w:id="22"/>
      <w:bookmarkEnd w:id="23"/>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jc w:val="both"/>
        <w:textAlignment w:val="auto"/>
        <w:rPr>
          <w:rFonts w:hint="eastAsia" w:ascii="黑体" w:hAnsi="黑体" w:eastAsia="黑体" w:cs="Times New Roman"/>
          <w:b w:val="0"/>
          <w:bCs/>
          <w:kern w:val="44"/>
          <w:sz w:val="44"/>
          <w:szCs w:val="44"/>
          <w:lang w:val="en-US" w:eastAsia="zh-CN" w:bidi="ar-SA"/>
        </w:rPr>
      </w:pPr>
    </w:p>
    <w:p>
      <w:pPr>
        <w:pStyle w:val="27"/>
        <w:numPr>
          <w:ilvl w:val="0"/>
          <w:numId w:val="2"/>
        </w:numPr>
        <w:spacing w:line="600" w:lineRule="exact"/>
        <w:ind w:firstLineChars="0"/>
        <w:outlineLvl w:val="1"/>
        <w:rPr>
          <w:rStyle w:val="29"/>
          <w:rFonts w:ascii="黑体" w:hAnsi="黑体" w:eastAsia="黑体"/>
          <w:b w:val="0"/>
        </w:rPr>
      </w:pPr>
      <w:bookmarkStart w:id="24" w:name="_Toc15377205"/>
      <w:bookmarkStart w:id="25" w:name="_Toc10380"/>
      <w:bookmarkStart w:id="26" w:name="_Toc15396603"/>
      <w:r>
        <w:rPr>
          <w:rFonts w:hint="eastAsia" w:ascii="黑体" w:hAnsi="黑体" w:eastAsia="黑体"/>
          <w:sz w:val="32"/>
          <w:szCs w:val="32"/>
        </w:rPr>
        <w:t>收</w:t>
      </w:r>
      <w:r>
        <w:rPr>
          <w:rStyle w:val="29"/>
          <w:rFonts w:hint="eastAsia" w:ascii="黑体" w:hAnsi="黑体" w:eastAsia="黑体"/>
          <w:b w:val="0"/>
        </w:rPr>
        <w:t>入支出决算总体情况说明</w:t>
      </w:r>
      <w:bookmarkEnd w:id="24"/>
      <w:bookmarkEnd w:id="25"/>
      <w:bookmarkEnd w:id="2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zh-CN"/>
        </w:rPr>
      </w:pPr>
      <w:r>
        <w:rPr>
          <w:rFonts w:hint="eastAsia" w:ascii="仿宋_GB2312" w:hAnsi="仿宋_GB2312" w:eastAsia="仿宋_GB2312" w:cs="仿宋_GB2312"/>
          <w:sz w:val="32"/>
          <w:szCs w:val="32"/>
          <w:highlight w:val="none"/>
          <w:lang w:val="zh-CN"/>
        </w:rPr>
        <w:t>2023年度收、支总计均为660.86万元。与2022年度相比，收、支总计各减少</w:t>
      </w:r>
      <w:r>
        <w:rPr>
          <w:rFonts w:hint="eastAsia" w:ascii="仿宋_GB2312" w:hAnsi="仿宋_GB2312" w:eastAsia="仿宋_GB2312" w:cs="仿宋_GB2312"/>
          <w:sz w:val="32"/>
          <w:szCs w:val="32"/>
          <w:highlight w:val="none"/>
          <w:lang w:val="en-US" w:eastAsia="zh-CN"/>
        </w:rPr>
        <w:t>95.13</w:t>
      </w:r>
      <w:r>
        <w:rPr>
          <w:rFonts w:hint="eastAsia" w:ascii="仿宋_GB2312" w:hAnsi="仿宋_GB2312" w:eastAsia="仿宋_GB2312" w:cs="仿宋_GB2312"/>
          <w:sz w:val="32"/>
          <w:szCs w:val="32"/>
          <w:highlight w:val="none"/>
          <w:lang w:val="zh-CN"/>
        </w:rPr>
        <w:t>万元，下降</w:t>
      </w:r>
      <w:r>
        <w:rPr>
          <w:rFonts w:hint="eastAsia" w:ascii="仿宋_GB2312" w:hAnsi="仿宋_GB2312" w:eastAsia="仿宋_GB2312" w:cs="仿宋_GB2312"/>
          <w:sz w:val="32"/>
          <w:szCs w:val="32"/>
          <w:highlight w:val="none"/>
          <w:lang w:val="en-US" w:eastAsia="zh-CN"/>
        </w:rPr>
        <w:t>13</w:t>
      </w:r>
      <w:r>
        <w:rPr>
          <w:rFonts w:hint="eastAsia" w:ascii="仿宋_GB2312" w:hAnsi="仿宋_GB2312" w:eastAsia="仿宋_GB2312" w:cs="仿宋_GB2312"/>
          <w:sz w:val="32"/>
          <w:szCs w:val="32"/>
          <w:highlight w:val="none"/>
          <w:lang w:val="zh-CN"/>
        </w:rPr>
        <w:t>%。主要变动原因是</w:t>
      </w:r>
      <w:r>
        <w:rPr>
          <w:rFonts w:hint="eastAsia" w:ascii="仿宋_GB2312" w:hAnsi="仿宋_GB2312" w:eastAsia="仿宋_GB2312" w:cs="仿宋_GB2312"/>
          <w:sz w:val="32"/>
          <w:szCs w:val="32"/>
          <w:highlight w:val="none"/>
          <w:lang w:val="zh-CN" w:eastAsia="zh-CN"/>
        </w:rPr>
        <w:t>机构改革，部分职能从我单位剥离出去减少了支出</w:t>
      </w:r>
      <w:r>
        <w:rPr>
          <w:rFonts w:hint="eastAsia" w:ascii="仿宋_GB2312" w:hAnsi="仿宋_GB2312" w:eastAsia="仿宋_GB2312" w:cs="仿宋_GB2312"/>
          <w:sz w:val="32"/>
          <w:szCs w:val="32"/>
          <w:highlight w:val="none"/>
          <w:lang w:val="zh-CN"/>
        </w:rPr>
        <w:t>。</w:t>
      </w:r>
    </w:p>
    <w:p>
      <w:pPr>
        <w:spacing w:line="600" w:lineRule="exact"/>
        <w:jc w:val="center"/>
        <w:rPr>
          <w:rFonts w:ascii="仿宋" w:hAnsi="仿宋" w:eastAsia="仿宋"/>
          <w:sz w:val="32"/>
          <w:szCs w:val="32"/>
        </w:rPr>
      </w:pPr>
      <w:r>
        <w:rPr>
          <w:rFonts w:hint="eastAsia" w:ascii="仿宋" w:hAnsi="仿宋" w:eastAsia="仿宋"/>
          <w:sz w:val="32"/>
          <w:szCs w:val="32"/>
        </w:rPr>
        <w:t>图</w:t>
      </w:r>
      <w:r>
        <w:rPr>
          <w:rFonts w:ascii="仿宋" w:hAnsi="仿宋" w:eastAsia="仿宋"/>
          <w:sz w:val="32"/>
          <w:szCs w:val="32"/>
        </w:rPr>
        <w:t>1</w:t>
      </w:r>
      <w:r>
        <w:rPr>
          <w:rFonts w:hint="eastAsia" w:ascii="仿宋" w:hAnsi="仿宋" w:eastAsia="仿宋"/>
          <w:sz w:val="32"/>
          <w:szCs w:val="32"/>
        </w:rPr>
        <w:t>：收、支决算总计变动情况图</w:t>
      </w:r>
    </w:p>
    <w:p>
      <w:pPr>
        <w:spacing w:line="600" w:lineRule="exact"/>
        <w:jc w:val="right"/>
        <w:rPr>
          <w:rFonts w:hint="eastAsia" w:ascii="仿宋_GB2312" w:eastAsia="仿宋_GB2312"/>
          <w:sz w:val="32"/>
          <w:szCs w:val="32"/>
          <w:lang w:val="en-US" w:eastAsia="zh-CN"/>
        </w:rPr>
      </w:pPr>
      <w:r>
        <w:rPr>
          <w:rFonts w:hint="eastAsia" w:ascii="仿宋_GB2312" w:eastAsia="仿宋_GB2312"/>
          <w:sz w:val="32"/>
          <w:szCs w:val="32"/>
          <w:lang w:val="en-US" w:eastAsia="zh-CN"/>
        </w:rPr>
        <w:t>单位：万元</w:t>
      </w:r>
    </w:p>
    <w:p>
      <w:pPr>
        <w:pStyle w:val="2"/>
        <w:rPr>
          <w:rFonts w:hint="default"/>
          <w:lang w:val="en-US" w:eastAsia="zh-CN"/>
        </w:rPr>
      </w:pPr>
      <w:r>
        <w:rPr>
          <w:rFonts w:hint="default"/>
          <w:lang w:val="en-US" w:eastAsia="zh-CN"/>
        </w:rPr>
        <w:drawing>
          <wp:inline distT="0" distB="0" distL="114300" distR="114300">
            <wp:extent cx="5080000" cy="1852930"/>
            <wp:effectExtent l="4445" t="4445" r="20955" b="952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pStyle w:val="27"/>
        <w:numPr>
          <w:ilvl w:val="0"/>
          <w:numId w:val="2"/>
        </w:numPr>
        <w:spacing w:line="600" w:lineRule="exact"/>
        <w:ind w:firstLineChars="0"/>
        <w:outlineLvl w:val="1"/>
        <w:rPr>
          <w:rStyle w:val="29"/>
          <w:rFonts w:ascii="黑体" w:hAnsi="黑体" w:eastAsia="黑体"/>
          <w:b w:val="0"/>
        </w:rPr>
      </w:pPr>
      <w:bookmarkStart w:id="27" w:name="_Toc15377206"/>
      <w:bookmarkStart w:id="28" w:name="_Toc4837"/>
      <w:bookmarkStart w:id="29" w:name="_Toc15396604"/>
      <w:r>
        <w:rPr>
          <w:rFonts w:hint="eastAsia" w:ascii="黑体" w:hAnsi="黑体" w:eastAsia="黑体"/>
          <w:sz w:val="32"/>
          <w:szCs w:val="32"/>
        </w:rPr>
        <w:t>收</w:t>
      </w:r>
      <w:r>
        <w:rPr>
          <w:rStyle w:val="29"/>
          <w:rFonts w:hint="eastAsia" w:ascii="黑体" w:hAnsi="黑体" w:eastAsia="黑体"/>
          <w:b w:val="0"/>
        </w:rPr>
        <w:t>入决算情况说明</w:t>
      </w:r>
      <w:bookmarkEnd w:id="27"/>
      <w:bookmarkEnd w:id="28"/>
      <w:bookmarkEnd w:id="29"/>
    </w:p>
    <w:p>
      <w:pPr>
        <w:spacing w:line="600" w:lineRule="exact"/>
        <w:ind w:firstLine="640" w:firstLineChars="200"/>
        <w:outlineLvl w:val="1"/>
        <w:rPr>
          <w:rFonts w:hint="eastAsia" w:ascii="仿宋" w:hAnsi="仿宋" w:eastAsia="仿宋"/>
          <w:sz w:val="32"/>
          <w:szCs w:val="32"/>
          <w:lang w:eastAsia="zh-CN"/>
        </w:rPr>
      </w:pPr>
      <w:bookmarkStart w:id="30" w:name="_Toc6650"/>
      <w:r>
        <w:rPr>
          <w:rFonts w:hint="eastAsia" w:ascii="仿宋" w:hAnsi="仿宋" w:eastAsia="仿宋"/>
          <w:sz w:val="32"/>
          <w:szCs w:val="32"/>
        </w:rPr>
        <w:t>2023年度本年收入合计</w:t>
      </w:r>
      <w:r>
        <w:rPr>
          <w:rFonts w:ascii="仿宋" w:hAnsi="仿宋" w:eastAsia="仿宋"/>
          <w:b/>
          <w:sz w:val="32"/>
          <w:szCs w:val="32"/>
        </w:rPr>
        <w:t>658.09</w:t>
      </w:r>
      <w:r>
        <w:rPr>
          <w:rFonts w:hint="eastAsia" w:ascii="仿宋" w:hAnsi="仿宋" w:eastAsia="仿宋"/>
          <w:sz w:val="32"/>
          <w:szCs w:val="32"/>
        </w:rPr>
        <w:t>万元，其中：一般公共预算财政拨款收入</w:t>
      </w:r>
      <w:r>
        <w:rPr>
          <w:rFonts w:ascii="仿宋" w:hAnsi="仿宋" w:eastAsia="仿宋"/>
          <w:b/>
          <w:sz w:val="32"/>
          <w:szCs w:val="32"/>
        </w:rPr>
        <w:t>658.09</w:t>
      </w:r>
      <w:r>
        <w:rPr>
          <w:rFonts w:hint="eastAsia" w:ascii="仿宋" w:hAnsi="仿宋" w:eastAsia="仿宋"/>
          <w:sz w:val="32"/>
          <w:szCs w:val="32"/>
        </w:rPr>
        <w:t>万元，占</w:t>
      </w:r>
      <w:r>
        <w:rPr>
          <w:rFonts w:ascii="仿宋" w:hAnsi="仿宋" w:eastAsia="仿宋"/>
          <w:b/>
          <w:sz w:val="32"/>
          <w:szCs w:val="32"/>
        </w:rPr>
        <w:t>100%</w:t>
      </w:r>
      <w:r>
        <w:rPr>
          <w:rFonts w:hint="eastAsia" w:ascii="仿宋" w:hAnsi="仿宋" w:eastAsia="仿宋"/>
          <w:sz w:val="32"/>
          <w:szCs w:val="32"/>
          <w:lang w:eastAsia="zh-CN"/>
        </w:rPr>
        <w:t>。</w:t>
      </w:r>
      <w:bookmarkEnd w:id="30"/>
    </w:p>
    <w:p>
      <w:pPr>
        <w:spacing w:line="600" w:lineRule="exact"/>
        <w:jc w:val="center"/>
        <w:rPr>
          <w:rFonts w:hint="eastAsia" w:ascii="仿宋" w:hAnsi="仿宋" w:eastAsia="仿宋"/>
          <w:sz w:val="32"/>
          <w:szCs w:val="32"/>
        </w:rPr>
      </w:pPr>
    </w:p>
    <w:p>
      <w:pPr>
        <w:spacing w:line="600" w:lineRule="exact"/>
        <w:jc w:val="center"/>
        <w:rPr>
          <w:rFonts w:hint="eastAsia" w:ascii="仿宋" w:hAnsi="仿宋" w:eastAsia="仿宋"/>
          <w:sz w:val="32"/>
          <w:szCs w:val="32"/>
        </w:rPr>
      </w:pPr>
    </w:p>
    <w:p>
      <w:pPr>
        <w:spacing w:line="600" w:lineRule="exact"/>
        <w:jc w:val="center"/>
        <w:rPr>
          <w:rFonts w:hint="eastAsia" w:ascii="仿宋" w:hAnsi="仿宋" w:eastAsia="仿宋"/>
          <w:sz w:val="32"/>
          <w:szCs w:val="32"/>
        </w:rPr>
      </w:pPr>
    </w:p>
    <w:p>
      <w:pPr>
        <w:spacing w:line="600" w:lineRule="exact"/>
        <w:jc w:val="center"/>
        <w:rPr>
          <w:rFonts w:ascii="仿宋" w:hAnsi="仿宋" w:eastAsia="仿宋"/>
          <w:sz w:val="32"/>
          <w:szCs w:val="32"/>
        </w:rPr>
      </w:pPr>
      <w:r>
        <w:rPr>
          <w:rFonts w:hint="eastAsia" w:ascii="仿宋" w:hAnsi="仿宋" w:eastAsia="仿宋"/>
          <w:sz w:val="32"/>
          <w:szCs w:val="32"/>
        </w:rPr>
        <w:t>图2：收入决算结构图</w:t>
      </w:r>
    </w:p>
    <w:p>
      <w:pPr>
        <w:spacing w:line="600" w:lineRule="exact"/>
        <w:jc w:val="right"/>
        <w:rPr>
          <w:rFonts w:hint="eastAsia" w:ascii="仿宋_GB2312" w:eastAsia="仿宋_GB2312"/>
          <w:sz w:val="32"/>
          <w:szCs w:val="32"/>
          <w:lang w:val="en-US" w:eastAsia="zh-CN"/>
        </w:rPr>
      </w:pPr>
      <w:r>
        <w:rPr>
          <w:rFonts w:hint="eastAsia" w:ascii="仿宋_GB2312" w:eastAsia="仿宋_GB2312"/>
          <w:sz w:val="32"/>
          <w:szCs w:val="32"/>
          <w:lang w:val="en-US" w:eastAsia="zh-CN"/>
        </w:rPr>
        <w:t>单位：万元</w:t>
      </w:r>
    </w:p>
    <w:p>
      <w:pPr>
        <w:pStyle w:val="2"/>
        <w:jc w:val="center"/>
        <w:rPr>
          <w:rFonts w:ascii="仿宋_GB2312" w:eastAsia="仿宋_GB2312"/>
          <w:sz w:val="32"/>
          <w:szCs w:val="32"/>
        </w:rPr>
      </w:pPr>
      <w:r>
        <w:rPr>
          <w:rFonts w:hint="eastAsia"/>
          <w:lang w:val="en-US" w:eastAsia="zh-CN"/>
        </w:rPr>
        <w:drawing>
          <wp:inline distT="0" distB="0" distL="114300" distR="114300">
            <wp:extent cx="4305935" cy="1737360"/>
            <wp:effectExtent l="4445" t="4445" r="13970" b="1079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pStyle w:val="27"/>
        <w:numPr>
          <w:ilvl w:val="0"/>
          <w:numId w:val="2"/>
        </w:numPr>
        <w:spacing w:line="600" w:lineRule="exact"/>
        <w:ind w:firstLineChars="0"/>
        <w:outlineLvl w:val="1"/>
        <w:rPr>
          <w:rStyle w:val="29"/>
          <w:rFonts w:ascii="黑体" w:hAnsi="黑体" w:eastAsia="黑体"/>
          <w:b w:val="0"/>
        </w:rPr>
      </w:pPr>
      <w:bookmarkStart w:id="31" w:name="_Toc14222"/>
      <w:bookmarkStart w:id="32" w:name="_Toc15396605"/>
      <w:bookmarkStart w:id="33" w:name="_Toc15377207"/>
      <w:r>
        <w:rPr>
          <w:rFonts w:hint="eastAsia" w:ascii="黑体" w:hAnsi="黑体" w:eastAsia="黑体"/>
          <w:sz w:val="32"/>
          <w:szCs w:val="32"/>
        </w:rPr>
        <w:t>支</w:t>
      </w:r>
      <w:r>
        <w:rPr>
          <w:rStyle w:val="29"/>
          <w:rFonts w:hint="eastAsia" w:ascii="黑体" w:hAnsi="黑体" w:eastAsia="黑体"/>
          <w:b w:val="0"/>
        </w:rPr>
        <w:t>出决算情况说明</w:t>
      </w:r>
      <w:bookmarkEnd w:id="31"/>
      <w:bookmarkEnd w:id="32"/>
      <w:bookmarkEnd w:id="33"/>
    </w:p>
    <w:p>
      <w:pPr>
        <w:spacing w:line="600" w:lineRule="exact"/>
        <w:ind w:firstLine="640" w:firstLineChars="200"/>
        <w:outlineLvl w:val="1"/>
        <w:rPr>
          <w:rFonts w:hint="eastAsia" w:ascii="仿宋_GB2312" w:hAnsi="仿宋_GB2312" w:eastAsia="仿宋_GB2312" w:cs="仿宋_GB2312"/>
          <w:sz w:val="32"/>
          <w:szCs w:val="32"/>
        </w:rPr>
      </w:pPr>
      <w:bookmarkStart w:id="34" w:name="_Toc30413"/>
      <w:r>
        <w:rPr>
          <w:rFonts w:hint="eastAsia" w:ascii="仿宋_GB2312" w:hAnsi="仿宋_GB2312" w:eastAsia="仿宋_GB2312" w:cs="仿宋_GB2312"/>
          <w:sz w:val="32"/>
          <w:szCs w:val="32"/>
        </w:rPr>
        <w:t>2023年度本年支出合计</w:t>
      </w:r>
      <w:r>
        <w:rPr>
          <w:rFonts w:hint="eastAsia" w:ascii="仿宋_GB2312" w:hAnsi="仿宋_GB2312" w:eastAsia="仿宋_GB2312" w:cs="仿宋_GB2312"/>
          <w:b/>
          <w:sz w:val="32"/>
          <w:szCs w:val="32"/>
        </w:rPr>
        <w:t>658.14</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b/>
          <w:sz w:val="32"/>
          <w:szCs w:val="32"/>
        </w:rPr>
        <w:t>395.41</w:t>
      </w:r>
      <w:r>
        <w:rPr>
          <w:rFonts w:hint="eastAsia" w:ascii="仿宋_GB2312" w:hAnsi="仿宋_GB2312" w:eastAsia="仿宋_GB2312" w:cs="仿宋_GB2312"/>
          <w:sz w:val="32"/>
          <w:szCs w:val="32"/>
        </w:rPr>
        <w:t>万元，占</w:t>
      </w:r>
      <w:r>
        <w:rPr>
          <w:rFonts w:hint="eastAsia" w:ascii="仿宋_GB2312" w:hAnsi="仿宋_GB2312" w:eastAsia="仿宋_GB2312" w:cs="仿宋_GB2312"/>
          <w:b/>
          <w:sz w:val="32"/>
          <w:szCs w:val="32"/>
        </w:rPr>
        <w:t>60.08</w:t>
      </w:r>
      <w:r>
        <w:rPr>
          <w:rFonts w:hint="eastAsia" w:ascii="仿宋_GB2312" w:hAnsi="仿宋_GB2312" w:eastAsia="仿宋_GB2312" w:cs="仿宋_GB2312"/>
          <w:sz w:val="32"/>
          <w:szCs w:val="32"/>
        </w:rPr>
        <w:t>%；项目支出</w:t>
      </w:r>
      <w:r>
        <w:rPr>
          <w:rFonts w:hint="eastAsia" w:ascii="仿宋_GB2312" w:hAnsi="仿宋_GB2312" w:eastAsia="仿宋_GB2312" w:cs="仿宋_GB2312"/>
          <w:b/>
          <w:sz w:val="32"/>
          <w:szCs w:val="32"/>
        </w:rPr>
        <w:t>262.73</w:t>
      </w:r>
      <w:r>
        <w:rPr>
          <w:rFonts w:hint="eastAsia" w:ascii="仿宋_GB2312" w:hAnsi="仿宋_GB2312" w:eastAsia="仿宋_GB2312" w:cs="仿宋_GB2312"/>
          <w:sz w:val="32"/>
          <w:szCs w:val="32"/>
        </w:rPr>
        <w:t>万元，占</w:t>
      </w:r>
      <w:r>
        <w:rPr>
          <w:rFonts w:hint="eastAsia" w:ascii="仿宋_GB2312" w:hAnsi="仿宋_GB2312" w:eastAsia="仿宋_GB2312" w:cs="仿宋_GB2312"/>
          <w:b/>
          <w:sz w:val="32"/>
          <w:szCs w:val="32"/>
        </w:rPr>
        <w:t>39.9</w:t>
      </w:r>
      <w:r>
        <w:rPr>
          <w:rFonts w:hint="eastAsia" w:ascii="仿宋_GB2312" w:hAnsi="仿宋_GB2312" w:eastAsia="仿宋_GB2312" w:cs="仿宋_GB2312"/>
          <w:b/>
          <w:sz w:val="32"/>
          <w:szCs w:val="32"/>
          <w:lang w:val="en-US" w:eastAsia="zh-CN"/>
        </w:rPr>
        <w:t>2</w:t>
      </w:r>
      <w:r>
        <w:rPr>
          <w:rFonts w:hint="eastAsia" w:ascii="仿宋_GB2312" w:hAnsi="仿宋_GB2312" w:eastAsia="仿宋_GB2312" w:cs="仿宋_GB2312"/>
          <w:sz w:val="32"/>
          <w:szCs w:val="32"/>
        </w:rPr>
        <w:t>%。</w:t>
      </w:r>
      <w:bookmarkEnd w:id="34"/>
    </w:p>
    <w:p>
      <w:pPr>
        <w:spacing w:line="600" w:lineRule="exact"/>
        <w:jc w:val="center"/>
        <w:rPr>
          <w:rFonts w:ascii="仿宋" w:hAnsi="仿宋" w:eastAsia="仿宋"/>
          <w:sz w:val="32"/>
          <w:szCs w:val="32"/>
        </w:rPr>
      </w:pPr>
      <w:r>
        <w:rPr>
          <w:rFonts w:hint="eastAsia" w:ascii="仿宋" w:hAnsi="仿宋" w:eastAsia="仿宋"/>
          <w:sz w:val="32"/>
          <w:szCs w:val="32"/>
        </w:rPr>
        <w:t>图3：支出决算结构图</w:t>
      </w:r>
    </w:p>
    <w:p>
      <w:pPr>
        <w:spacing w:line="600" w:lineRule="exact"/>
        <w:jc w:val="right"/>
        <w:rPr>
          <w:rFonts w:hint="eastAsia" w:ascii="仿宋_GB2312" w:eastAsia="仿宋_GB2312"/>
          <w:sz w:val="32"/>
          <w:szCs w:val="32"/>
          <w:lang w:val="en-US" w:eastAsia="zh-CN"/>
        </w:rPr>
      </w:pPr>
      <w:r>
        <w:rPr>
          <w:rFonts w:hint="eastAsia" w:ascii="仿宋_GB2312" w:eastAsia="仿宋_GB2312"/>
          <w:sz w:val="32"/>
          <w:szCs w:val="32"/>
          <w:lang w:val="en-US" w:eastAsia="zh-CN"/>
        </w:rPr>
        <w:t>单位：万元</w:t>
      </w:r>
    </w:p>
    <w:p>
      <w:pPr>
        <w:pStyle w:val="2"/>
        <w:rPr>
          <w:rFonts w:ascii="仿宋_GB2312" w:eastAsia="仿宋_GB2312"/>
          <w:sz w:val="32"/>
          <w:szCs w:val="32"/>
        </w:rPr>
      </w:pPr>
      <w:r>
        <w:rPr>
          <w:rFonts w:hint="eastAsia"/>
          <w:lang w:val="en-US" w:eastAsia="zh-CN"/>
        </w:rPr>
        <w:drawing>
          <wp:inline distT="0" distB="0" distL="114300" distR="114300">
            <wp:extent cx="5080000" cy="1947545"/>
            <wp:effectExtent l="4445" t="4445" r="20955" b="1016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spacing w:line="600" w:lineRule="exact"/>
        <w:ind w:firstLine="640" w:firstLineChars="200"/>
        <w:outlineLvl w:val="1"/>
        <w:rPr>
          <w:rStyle w:val="29"/>
          <w:rFonts w:ascii="黑体" w:hAnsi="黑体" w:eastAsia="黑体"/>
          <w:b w:val="0"/>
        </w:rPr>
      </w:pPr>
      <w:bookmarkStart w:id="35" w:name="_Toc8139"/>
      <w:bookmarkStart w:id="36" w:name="_Toc15377208"/>
      <w:bookmarkStart w:id="37" w:name="_Toc15396606"/>
      <w:r>
        <w:rPr>
          <w:rFonts w:hint="eastAsia" w:ascii="黑体" w:hAnsi="黑体" w:eastAsia="黑体"/>
          <w:sz w:val="32"/>
          <w:szCs w:val="32"/>
        </w:rPr>
        <w:t>四、财</w:t>
      </w:r>
      <w:r>
        <w:rPr>
          <w:rStyle w:val="29"/>
          <w:rFonts w:hint="eastAsia" w:ascii="黑体" w:hAnsi="黑体" w:eastAsia="黑体"/>
          <w:b w:val="0"/>
        </w:rPr>
        <w:t>政拨款收入支出决算总体情况说明</w:t>
      </w:r>
      <w:bookmarkEnd w:id="35"/>
      <w:bookmarkEnd w:id="36"/>
      <w:bookmarkEnd w:id="37"/>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2023年度财政拨款收、支总计均为</w:t>
      </w:r>
      <w:r>
        <w:rPr>
          <w:rFonts w:hint="eastAsia" w:ascii="仿宋_GB2312" w:hAnsi="仿宋_GB2312" w:eastAsia="仿宋_GB2312" w:cs="仿宋_GB2312"/>
          <w:b/>
          <w:sz w:val="32"/>
          <w:szCs w:val="32"/>
        </w:rPr>
        <w:t>660.86</w:t>
      </w:r>
      <w:r>
        <w:rPr>
          <w:rFonts w:hint="eastAsia" w:ascii="仿宋_GB2312" w:hAnsi="仿宋_GB2312" w:eastAsia="仿宋_GB2312" w:cs="仿宋_GB2312"/>
          <w:sz w:val="32"/>
          <w:szCs w:val="32"/>
        </w:rPr>
        <w:t>万元。与2022年度相比，财政拨款收、支总计各减少</w:t>
      </w:r>
      <w:r>
        <w:rPr>
          <w:rFonts w:hint="eastAsia" w:ascii="仿宋_GB2312" w:hAnsi="仿宋_GB2312" w:eastAsia="仿宋_GB2312" w:cs="仿宋_GB2312"/>
          <w:sz w:val="32"/>
          <w:szCs w:val="32"/>
          <w:lang w:val="en-US" w:eastAsia="zh-CN"/>
        </w:rPr>
        <w:t>82.44</w:t>
      </w:r>
      <w:r>
        <w:rPr>
          <w:rFonts w:hint="eastAsia" w:ascii="仿宋_GB2312" w:hAnsi="仿宋_GB2312" w:eastAsia="仿宋_GB2312" w:cs="仿宋_GB2312"/>
          <w:sz w:val="32"/>
          <w:szCs w:val="32"/>
        </w:rPr>
        <w:t>万元，下降</w:t>
      </w:r>
      <w:r>
        <w:rPr>
          <w:rFonts w:hint="eastAsia" w:ascii="仿宋_GB2312" w:hAnsi="仿宋_GB2312" w:eastAsia="仿宋_GB2312" w:cs="仿宋_GB2312"/>
          <w:sz w:val="32"/>
          <w:szCs w:val="32"/>
          <w:lang w:val="en-US" w:eastAsia="zh-CN"/>
        </w:rPr>
        <w:t>11.09</w:t>
      </w:r>
      <w:r>
        <w:rPr>
          <w:rFonts w:hint="eastAsia" w:ascii="仿宋_GB2312" w:hAnsi="仿宋_GB2312" w:eastAsia="仿宋_GB2312" w:cs="仿宋_GB2312"/>
          <w:sz w:val="32"/>
          <w:szCs w:val="32"/>
        </w:rPr>
        <w:t>%。主要变动原因是</w:t>
      </w:r>
      <w:r>
        <w:rPr>
          <w:rFonts w:hint="eastAsia" w:ascii="仿宋_GB2312" w:hAnsi="仿宋_GB2312" w:eastAsia="仿宋_GB2312" w:cs="仿宋_GB2312"/>
          <w:sz w:val="32"/>
          <w:szCs w:val="32"/>
          <w:lang w:eastAsia="zh-CN"/>
        </w:rPr>
        <w:t>机构改革，部分职能从我单位剥离出去减少了支出</w:t>
      </w:r>
      <w:r>
        <w:rPr>
          <w:rFonts w:hint="eastAsia" w:ascii="仿宋_GB2312" w:hAnsi="仿宋_GB2312" w:eastAsia="仿宋_GB2312" w:cs="仿宋_GB2312"/>
          <w:sz w:val="32"/>
          <w:szCs w:val="32"/>
        </w:rPr>
        <w:t>。</w:t>
      </w:r>
    </w:p>
    <w:p>
      <w:pPr>
        <w:spacing w:line="600" w:lineRule="exact"/>
        <w:jc w:val="center"/>
        <w:rPr>
          <w:rFonts w:hint="eastAsia" w:ascii="仿宋" w:hAnsi="仿宋" w:eastAsia="仿宋"/>
          <w:sz w:val="32"/>
          <w:szCs w:val="32"/>
        </w:rPr>
      </w:pPr>
      <w:r>
        <w:rPr>
          <w:rFonts w:hint="eastAsia" w:ascii="仿宋" w:hAnsi="仿宋" w:eastAsia="仿宋"/>
          <w:sz w:val="32"/>
          <w:szCs w:val="32"/>
        </w:rPr>
        <w:t>图4：财政拨款收、支决算总计变动情况</w:t>
      </w:r>
    </w:p>
    <w:p>
      <w:pPr>
        <w:pStyle w:val="2"/>
        <w:jc w:val="right"/>
        <w:rPr>
          <w:rFonts w:hint="eastAsia" w:ascii="仿宋_GB2312" w:eastAsia="仿宋_GB2312"/>
          <w:sz w:val="32"/>
          <w:szCs w:val="32"/>
          <w:lang w:val="en-US" w:eastAsia="zh-CN"/>
        </w:rPr>
      </w:pPr>
      <w:r>
        <w:rPr>
          <w:rFonts w:hint="eastAsia" w:ascii="仿宋_GB2312" w:eastAsia="仿宋_GB2312"/>
          <w:sz w:val="32"/>
          <w:szCs w:val="32"/>
          <w:lang w:val="en-US" w:eastAsia="zh-CN"/>
        </w:rPr>
        <w:t>单位：万元</w:t>
      </w:r>
    </w:p>
    <w:p>
      <w:pPr>
        <w:pStyle w:val="2"/>
        <w:jc w:val="right"/>
        <w:rPr>
          <w:rFonts w:ascii="仿宋" w:hAnsi="仿宋" w:eastAsia="仿宋"/>
          <w:b/>
          <w:sz w:val="32"/>
          <w:szCs w:val="32"/>
        </w:rPr>
      </w:pPr>
      <w:r>
        <w:rPr>
          <w:rFonts w:hint="eastAsia" w:ascii="仿宋_GB2312" w:eastAsia="仿宋_GB2312"/>
          <w:sz w:val="32"/>
          <w:szCs w:val="32"/>
          <w:lang w:val="en-US" w:eastAsia="zh-CN"/>
        </w:rPr>
        <w:drawing>
          <wp:inline distT="0" distB="0" distL="114300" distR="114300">
            <wp:extent cx="5080000" cy="1988820"/>
            <wp:effectExtent l="4445" t="4445" r="20955" b="6985"/>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pacing w:line="600" w:lineRule="exact"/>
        <w:ind w:firstLine="640" w:firstLineChars="200"/>
        <w:outlineLvl w:val="1"/>
        <w:rPr>
          <w:rStyle w:val="29"/>
          <w:rFonts w:ascii="黑体" w:hAnsi="黑体" w:eastAsia="黑体"/>
          <w:b w:val="0"/>
        </w:rPr>
      </w:pPr>
      <w:bookmarkStart w:id="38" w:name="_Toc15377209"/>
      <w:bookmarkStart w:id="39" w:name="_Toc15396607"/>
      <w:bookmarkStart w:id="40" w:name="_Toc9358"/>
      <w:r>
        <w:rPr>
          <w:rFonts w:hint="eastAsia" w:ascii="黑体" w:hAnsi="黑体" w:eastAsia="黑体"/>
          <w:sz w:val="32"/>
          <w:szCs w:val="32"/>
        </w:rPr>
        <w:t>五、</w:t>
      </w:r>
      <w:r>
        <w:rPr>
          <w:rFonts w:hint="eastAsia" w:ascii="黑体" w:hAnsi="黑体" w:eastAsia="黑体"/>
          <w:b/>
          <w:sz w:val="32"/>
          <w:szCs w:val="32"/>
        </w:rPr>
        <w:t>一</w:t>
      </w:r>
      <w:r>
        <w:rPr>
          <w:rStyle w:val="29"/>
          <w:rFonts w:hint="eastAsia" w:ascii="黑体" w:hAnsi="黑体" w:eastAsia="黑体"/>
          <w:b w:val="0"/>
        </w:rPr>
        <w:t>般公共预算财政拨款支出决算情况说明</w:t>
      </w:r>
      <w:bookmarkEnd w:id="38"/>
      <w:bookmarkEnd w:id="39"/>
      <w:bookmarkEnd w:id="40"/>
    </w:p>
    <w:p>
      <w:pPr>
        <w:spacing w:line="600" w:lineRule="exact"/>
        <w:ind w:firstLine="642" w:firstLineChars="200"/>
        <w:outlineLvl w:val="2"/>
        <w:rPr>
          <w:rFonts w:hint="eastAsia" w:ascii="仿宋_GB2312" w:hAnsi="仿宋_GB2312" w:eastAsia="仿宋_GB2312" w:cs="仿宋_GB2312"/>
          <w:b/>
          <w:sz w:val="32"/>
          <w:szCs w:val="32"/>
        </w:rPr>
      </w:pPr>
      <w:bookmarkStart w:id="41" w:name="_Toc15377210"/>
      <w:r>
        <w:rPr>
          <w:rFonts w:hint="eastAsia" w:ascii="仿宋_GB2312" w:hAnsi="仿宋_GB2312" w:eastAsia="仿宋_GB2312" w:cs="仿宋_GB2312"/>
          <w:b/>
          <w:sz w:val="32"/>
          <w:szCs w:val="32"/>
        </w:rPr>
        <w:t>（一）一般公共预算财政拨款支出决算总体情况</w:t>
      </w:r>
      <w:bookmarkEnd w:id="41"/>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2023年度一般公共预算财政拨款支出</w:t>
      </w:r>
      <w:r>
        <w:rPr>
          <w:rFonts w:hint="eastAsia" w:ascii="仿宋_GB2312" w:hAnsi="仿宋_GB2312" w:eastAsia="仿宋_GB2312" w:cs="仿宋_GB2312"/>
          <w:b/>
          <w:sz w:val="32"/>
          <w:szCs w:val="32"/>
        </w:rPr>
        <w:t>658.14</w:t>
      </w:r>
      <w:r>
        <w:rPr>
          <w:rFonts w:hint="eastAsia" w:ascii="仿宋_GB2312" w:hAnsi="仿宋_GB2312" w:eastAsia="仿宋_GB2312" w:cs="仿宋_GB2312"/>
          <w:sz w:val="32"/>
          <w:szCs w:val="32"/>
        </w:rPr>
        <w:t>万元，占本年支出合计的</w:t>
      </w:r>
      <w:r>
        <w:rPr>
          <w:rFonts w:hint="eastAsia" w:ascii="仿宋_GB2312" w:hAnsi="仿宋_GB2312" w:eastAsia="仿宋_GB2312" w:cs="仿宋_GB2312"/>
          <w:b/>
          <w:sz w:val="32"/>
          <w:szCs w:val="32"/>
        </w:rPr>
        <w:t>100</w:t>
      </w:r>
      <w:r>
        <w:rPr>
          <w:rFonts w:hint="eastAsia" w:ascii="仿宋_GB2312" w:hAnsi="仿宋_GB2312" w:eastAsia="仿宋_GB2312" w:cs="仿宋_GB2312"/>
          <w:sz w:val="32"/>
          <w:szCs w:val="32"/>
        </w:rPr>
        <w:t>%。与2022年度相比，一般公共预算财政拨款支出减少</w:t>
      </w:r>
      <w:r>
        <w:rPr>
          <w:rFonts w:hint="eastAsia" w:ascii="仿宋_GB2312" w:hAnsi="仿宋_GB2312" w:eastAsia="仿宋_GB2312" w:cs="仿宋_GB2312"/>
          <w:sz w:val="32"/>
          <w:szCs w:val="32"/>
          <w:lang w:val="en-US" w:eastAsia="zh-CN"/>
        </w:rPr>
        <w:t>82.38</w:t>
      </w:r>
      <w:r>
        <w:rPr>
          <w:rFonts w:hint="eastAsia" w:ascii="仿宋_GB2312" w:hAnsi="仿宋_GB2312" w:eastAsia="仿宋_GB2312" w:cs="仿宋_GB2312"/>
          <w:sz w:val="32"/>
          <w:szCs w:val="32"/>
        </w:rPr>
        <w:t>万元，下降</w:t>
      </w:r>
      <w:r>
        <w:rPr>
          <w:rFonts w:hint="eastAsia" w:ascii="仿宋_GB2312" w:hAnsi="仿宋_GB2312" w:eastAsia="仿宋_GB2312" w:cs="仿宋_GB2312"/>
          <w:sz w:val="32"/>
          <w:szCs w:val="32"/>
          <w:lang w:val="en-US" w:eastAsia="zh-CN"/>
        </w:rPr>
        <w:t>11.12</w:t>
      </w:r>
      <w:r>
        <w:rPr>
          <w:rFonts w:hint="eastAsia" w:ascii="仿宋_GB2312" w:hAnsi="仿宋_GB2312" w:eastAsia="仿宋_GB2312" w:cs="仿宋_GB2312"/>
          <w:sz w:val="32"/>
          <w:szCs w:val="32"/>
        </w:rPr>
        <w:t>%。主要变动原因是</w:t>
      </w:r>
      <w:r>
        <w:rPr>
          <w:rFonts w:hint="eastAsia" w:ascii="仿宋_GB2312" w:hAnsi="仿宋_GB2312" w:eastAsia="仿宋_GB2312" w:cs="仿宋_GB2312"/>
          <w:sz w:val="32"/>
          <w:szCs w:val="32"/>
          <w:lang w:eastAsia="zh-CN"/>
        </w:rPr>
        <w:t>机构改革，部分职能从我单位剥离出去减少了支出</w:t>
      </w:r>
      <w:r>
        <w:rPr>
          <w:rFonts w:hint="eastAsia" w:ascii="仿宋_GB2312" w:hAnsi="仿宋_GB2312" w:eastAsia="仿宋_GB2312" w:cs="仿宋_GB2312"/>
          <w:sz w:val="32"/>
          <w:szCs w:val="32"/>
        </w:rPr>
        <w:t>。</w:t>
      </w:r>
    </w:p>
    <w:p>
      <w:pPr>
        <w:spacing w:line="600" w:lineRule="exact"/>
        <w:jc w:val="center"/>
        <w:rPr>
          <w:rFonts w:ascii="仿宋" w:hAnsi="仿宋" w:eastAsia="仿宋"/>
          <w:sz w:val="32"/>
          <w:szCs w:val="32"/>
        </w:rPr>
      </w:pPr>
      <w:r>
        <w:rPr>
          <w:rFonts w:hint="eastAsia" w:ascii="仿宋" w:hAnsi="仿宋" w:eastAsia="仿宋"/>
          <w:sz w:val="32"/>
          <w:szCs w:val="32"/>
        </w:rPr>
        <w:t>图5：一般公共预算财政拨款支出决算变动情况</w:t>
      </w:r>
    </w:p>
    <w:p>
      <w:pPr>
        <w:pStyle w:val="2"/>
        <w:jc w:val="right"/>
        <w:rPr>
          <w:rFonts w:hint="eastAsia" w:ascii="仿宋_GB2312" w:eastAsia="仿宋_GB2312"/>
          <w:sz w:val="32"/>
          <w:szCs w:val="32"/>
          <w:lang w:val="en-US" w:eastAsia="zh-CN"/>
        </w:rPr>
      </w:pPr>
      <w:r>
        <w:rPr>
          <w:rFonts w:hint="eastAsia" w:ascii="仿宋_GB2312" w:eastAsia="仿宋_GB2312"/>
          <w:sz w:val="32"/>
          <w:szCs w:val="32"/>
          <w:lang w:val="en-US" w:eastAsia="zh-CN"/>
        </w:rPr>
        <w:t>单位：万元</w:t>
      </w:r>
    </w:p>
    <w:p>
      <w:pPr>
        <w:pStyle w:val="2"/>
        <w:jc w:val="right"/>
        <w:rPr>
          <w:rFonts w:ascii="仿宋" w:hAnsi="仿宋" w:eastAsia="仿宋"/>
          <w:sz w:val="32"/>
          <w:szCs w:val="32"/>
        </w:rPr>
      </w:pPr>
      <w:r>
        <w:rPr>
          <w:rFonts w:hint="eastAsia" w:ascii="仿宋_GB2312" w:eastAsia="仿宋_GB2312"/>
          <w:sz w:val="32"/>
          <w:szCs w:val="32"/>
          <w:lang w:val="en-US" w:eastAsia="zh-CN"/>
        </w:rPr>
        <w:drawing>
          <wp:inline distT="0" distB="0" distL="114300" distR="114300">
            <wp:extent cx="5080000" cy="2754630"/>
            <wp:effectExtent l="4445" t="4445" r="20955" b="2222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ind w:firstLine="642" w:firstLineChars="200"/>
        <w:outlineLvl w:val="2"/>
        <w:rPr>
          <w:rFonts w:ascii="仿宋" w:hAnsi="仿宋" w:eastAsia="仿宋"/>
          <w:b/>
          <w:sz w:val="32"/>
          <w:szCs w:val="32"/>
        </w:rPr>
      </w:pPr>
      <w:bookmarkStart w:id="42" w:name="_Toc15377211"/>
      <w:r>
        <w:rPr>
          <w:rFonts w:hint="eastAsia" w:ascii="仿宋" w:hAnsi="仿宋" w:eastAsia="仿宋"/>
          <w:b/>
          <w:sz w:val="32"/>
          <w:szCs w:val="32"/>
        </w:rPr>
        <w:t>（二）一般公共预算财政拨款支出决算结构情况</w:t>
      </w:r>
      <w:bookmarkEnd w:id="42"/>
    </w:p>
    <w:p>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2023年度一般公共预算财政拨款支出</w:t>
      </w:r>
      <w:r>
        <w:rPr>
          <w:rFonts w:hint="eastAsia" w:ascii="仿宋_GB2312" w:hAnsi="仿宋_GB2312" w:eastAsia="仿宋_GB2312" w:cs="仿宋_GB2312"/>
          <w:b/>
          <w:sz w:val="32"/>
          <w:szCs w:val="32"/>
        </w:rPr>
        <w:t>658.14</w:t>
      </w:r>
      <w:r>
        <w:rPr>
          <w:rFonts w:hint="eastAsia" w:ascii="仿宋_GB2312" w:hAnsi="仿宋_GB2312" w:eastAsia="仿宋_GB2312" w:cs="仿宋_GB2312"/>
          <w:sz w:val="32"/>
          <w:szCs w:val="32"/>
        </w:rPr>
        <w:t>万元，主要用于以下方面</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sz w:val="32"/>
          <w:szCs w:val="32"/>
        </w:rPr>
        <w:t>教育支出</w:t>
      </w:r>
      <w:r>
        <w:rPr>
          <w:rFonts w:hint="eastAsia" w:ascii="仿宋_GB2312" w:hAnsi="仿宋_GB2312" w:eastAsia="仿宋_GB2312" w:cs="仿宋_GB2312"/>
          <w:sz w:val="32"/>
          <w:szCs w:val="32"/>
          <w:lang w:val="en-US" w:eastAsia="zh-CN"/>
        </w:rPr>
        <w:t>552.24</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83.91</w:t>
      </w:r>
      <w:r>
        <w:rPr>
          <w:rFonts w:hint="eastAsia" w:ascii="仿宋_GB2312" w:hAnsi="仿宋_GB2312" w:eastAsia="仿宋_GB2312" w:cs="仿宋_GB2312"/>
          <w:sz w:val="32"/>
          <w:szCs w:val="32"/>
        </w:rPr>
        <w:t>%；</w:t>
      </w:r>
      <w:r>
        <w:rPr>
          <w:rFonts w:hint="eastAsia" w:ascii="仿宋_GB2312" w:hAnsi="仿宋_GB2312" w:eastAsia="仿宋_GB2312" w:cs="仿宋_GB2312"/>
          <w:b/>
          <w:sz w:val="32"/>
          <w:szCs w:val="32"/>
        </w:rPr>
        <w:t>社会保障和就业</w:t>
      </w:r>
      <w:r>
        <w:rPr>
          <w:rFonts w:hint="eastAsia" w:ascii="仿宋_GB2312" w:hAnsi="仿宋_GB2312" w:eastAsia="仿宋_GB2312" w:cs="仿宋_GB2312"/>
          <w:b/>
          <w:bCs/>
          <w:sz w:val="32"/>
          <w:szCs w:val="32"/>
        </w:rPr>
        <w:t>支出</w:t>
      </w:r>
      <w:r>
        <w:rPr>
          <w:rFonts w:hint="eastAsia" w:ascii="仿宋_GB2312" w:hAnsi="仿宋_GB2312" w:eastAsia="仿宋_GB2312" w:cs="仿宋_GB2312"/>
          <w:sz w:val="32"/>
          <w:szCs w:val="32"/>
          <w:lang w:val="en-US" w:eastAsia="zh-CN"/>
        </w:rPr>
        <w:t>39.45</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5.99</w:t>
      </w:r>
      <w:r>
        <w:rPr>
          <w:rFonts w:hint="eastAsia" w:ascii="仿宋_GB2312" w:hAnsi="仿宋_GB2312" w:eastAsia="仿宋_GB2312" w:cs="仿宋_GB2312"/>
          <w:sz w:val="32"/>
          <w:szCs w:val="32"/>
        </w:rPr>
        <w:t>%；</w:t>
      </w:r>
      <w:r>
        <w:rPr>
          <w:rFonts w:hint="eastAsia" w:ascii="仿宋_GB2312" w:hAnsi="仿宋_GB2312" w:eastAsia="仿宋_GB2312" w:cs="仿宋_GB2312"/>
          <w:b/>
          <w:bCs/>
          <w:sz w:val="32"/>
          <w:szCs w:val="32"/>
        </w:rPr>
        <w:t>卫生健康支出</w:t>
      </w:r>
      <w:r>
        <w:rPr>
          <w:rFonts w:hint="eastAsia" w:ascii="仿宋_GB2312" w:hAnsi="仿宋_GB2312" w:eastAsia="仿宋_GB2312" w:cs="仿宋_GB2312"/>
          <w:sz w:val="32"/>
          <w:szCs w:val="32"/>
          <w:lang w:val="en-US" w:eastAsia="zh-CN"/>
        </w:rPr>
        <w:t>33.11</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5.03</w:t>
      </w:r>
      <w:r>
        <w:rPr>
          <w:rFonts w:hint="eastAsia" w:ascii="仿宋_GB2312" w:hAnsi="仿宋_GB2312" w:eastAsia="仿宋_GB2312" w:cs="仿宋_GB2312"/>
          <w:sz w:val="32"/>
          <w:szCs w:val="32"/>
        </w:rPr>
        <w:t>%；</w:t>
      </w:r>
      <w:r>
        <w:rPr>
          <w:rFonts w:hint="eastAsia" w:ascii="仿宋_GB2312" w:hAnsi="仿宋_GB2312" w:eastAsia="仿宋_GB2312" w:cs="仿宋_GB2312"/>
          <w:b/>
          <w:bCs/>
          <w:sz w:val="32"/>
          <w:szCs w:val="32"/>
        </w:rPr>
        <w:t>住房保障支出</w:t>
      </w:r>
      <w:r>
        <w:rPr>
          <w:rFonts w:hint="eastAsia" w:ascii="仿宋_GB2312" w:hAnsi="仿宋_GB2312" w:eastAsia="仿宋_GB2312" w:cs="仿宋_GB2312"/>
          <w:sz w:val="32"/>
          <w:szCs w:val="32"/>
          <w:lang w:val="en-US" w:eastAsia="zh-CN"/>
        </w:rPr>
        <w:t>33.34</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5.07</w:t>
      </w:r>
      <w:r>
        <w:rPr>
          <w:rFonts w:hint="eastAsia" w:ascii="仿宋_GB2312" w:hAnsi="仿宋_GB2312" w:eastAsia="仿宋_GB2312" w:cs="仿宋_GB2312"/>
          <w:sz w:val="32"/>
          <w:szCs w:val="32"/>
        </w:rPr>
        <w:t>%。</w:t>
      </w:r>
    </w:p>
    <w:p>
      <w:pPr>
        <w:spacing w:line="600" w:lineRule="exact"/>
        <w:jc w:val="center"/>
        <w:rPr>
          <w:rFonts w:ascii="仿宋" w:hAnsi="仿宋" w:eastAsia="仿宋"/>
          <w:sz w:val="32"/>
          <w:szCs w:val="32"/>
        </w:rPr>
      </w:pPr>
      <w:r>
        <w:rPr>
          <w:rFonts w:hint="eastAsia" w:ascii="仿宋" w:hAnsi="仿宋" w:eastAsia="仿宋"/>
          <w:sz w:val="32"/>
          <w:szCs w:val="32"/>
        </w:rPr>
        <w:t>图6：一般公共预算财政拨款支出决算结构</w:t>
      </w:r>
    </w:p>
    <w:p>
      <w:pPr>
        <w:spacing w:line="600" w:lineRule="exact"/>
        <w:ind w:firstLine="640" w:firstLineChars="200"/>
        <w:jc w:val="right"/>
        <w:rPr>
          <w:rFonts w:hint="eastAsia" w:ascii="仿宋_GB2312" w:eastAsia="仿宋_GB2312"/>
          <w:sz w:val="32"/>
          <w:szCs w:val="32"/>
          <w:lang w:val="en-US" w:eastAsia="zh-CN"/>
        </w:rPr>
      </w:pPr>
      <w:r>
        <w:rPr>
          <w:rFonts w:hint="eastAsia" w:ascii="仿宋_GB2312" w:eastAsia="仿宋_GB2312"/>
          <w:sz w:val="32"/>
          <w:szCs w:val="32"/>
          <w:lang w:val="en-US" w:eastAsia="zh-CN"/>
        </w:rPr>
        <w:t>单位：万元</w:t>
      </w:r>
    </w:p>
    <w:p>
      <w:pPr>
        <w:pStyle w:val="2"/>
      </w:pPr>
      <w:r>
        <w:drawing>
          <wp:inline distT="0" distB="0" distL="114300" distR="114300">
            <wp:extent cx="5080000" cy="2607945"/>
            <wp:effectExtent l="4445" t="4445" r="20955" b="1651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ind w:firstLine="642" w:firstLineChars="200"/>
        <w:outlineLvl w:val="2"/>
        <w:rPr>
          <w:rFonts w:ascii="仿宋" w:hAnsi="仿宋" w:eastAsia="仿宋"/>
          <w:b/>
          <w:sz w:val="32"/>
          <w:szCs w:val="32"/>
        </w:rPr>
      </w:pPr>
      <w:bookmarkStart w:id="43" w:name="_Toc15377212"/>
      <w:r>
        <w:rPr>
          <w:rFonts w:hint="eastAsia" w:ascii="仿宋" w:hAnsi="仿宋" w:eastAsia="仿宋"/>
          <w:b/>
          <w:sz w:val="32"/>
          <w:szCs w:val="32"/>
        </w:rPr>
        <w:t>（三）一般公共预算财政拨款支出决算具体情况</w:t>
      </w:r>
      <w:bookmarkEnd w:id="43"/>
    </w:p>
    <w:p>
      <w:pPr>
        <w:spacing w:line="600" w:lineRule="exact"/>
        <w:ind w:firstLine="642" w:firstLineChars="200"/>
        <w:outlineLvl w:val="1"/>
        <w:rPr>
          <w:rFonts w:hint="eastAsia" w:ascii="仿宋_GB2312" w:hAnsi="仿宋_GB2312" w:eastAsia="仿宋_GB2312" w:cs="仿宋_GB2312"/>
          <w:sz w:val="32"/>
          <w:szCs w:val="32"/>
        </w:rPr>
      </w:pPr>
      <w:bookmarkStart w:id="44" w:name="_Toc15377444"/>
      <w:bookmarkStart w:id="45" w:name="_Toc15170"/>
      <w:bookmarkStart w:id="46" w:name="_Toc15377213"/>
      <w:bookmarkStart w:id="47" w:name="_Toc15378460"/>
      <w:r>
        <w:rPr>
          <w:rFonts w:hint="eastAsia" w:ascii="仿宋_GB2312" w:hAnsi="仿宋_GB2312" w:eastAsia="仿宋_GB2312" w:cs="仿宋_GB2312"/>
          <w:b/>
          <w:sz w:val="32"/>
          <w:szCs w:val="32"/>
        </w:rPr>
        <w:t>2023年度一般公共预算支出决算数为658.14</w:t>
      </w:r>
      <w:r>
        <w:rPr>
          <w:rFonts w:hint="eastAsia" w:ascii="仿宋_GB2312" w:hAnsi="仿宋_GB2312" w:eastAsia="仿宋_GB2312" w:cs="仿宋_GB2312"/>
          <w:sz w:val="32"/>
          <w:szCs w:val="32"/>
        </w:rPr>
        <w:t>，</w:t>
      </w:r>
      <w:r>
        <w:rPr>
          <w:rStyle w:val="17"/>
          <w:rFonts w:hint="eastAsia" w:ascii="仿宋_GB2312" w:hAnsi="仿宋_GB2312" w:eastAsia="仿宋_GB2312" w:cs="仿宋_GB2312"/>
          <w:bCs/>
          <w:sz w:val="32"/>
          <w:szCs w:val="32"/>
        </w:rPr>
        <w:t>完成预算</w:t>
      </w:r>
      <w:r>
        <w:rPr>
          <w:rStyle w:val="17"/>
          <w:rFonts w:hint="eastAsia" w:ascii="仿宋_GB2312" w:hAnsi="仿宋_GB2312" w:eastAsia="仿宋_GB2312" w:cs="仿宋_GB2312"/>
          <w:bCs/>
          <w:sz w:val="32"/>
          <w:szCs w:val="32"/>
          <w:lang w:val="en-US" w:eastAsia="zh-CN"/>
        </w:rPr>
        <w:t>99.59</w:t>
      </w:r>
      <w:r>
        <w:rPr>
          <w:rStyle w:val="17"/>
          <w:rFonts w:hint="eastAsia" w:ascii="仿宋_GB2312" w:hAnsi="仿宋_GB2312" w:eastAsia="仿宋_GB2312" w:cs="仿宋_GB2312"/>
          <w:bCs/>
          <w:sz w:val="32"/>
          <w:szCs w:val="32"/>
        </w:rPr>
        <w:t>%。其中：</w:t>
      </w:r>
      <w:bookmarkEnd w:id="44"/>
      <w:bookmarkEnd w:id="45"/>
      <w:bookmarkEnd w:id="46"/>
      <w:bookmarkEnd w:id="47"/>
    </w:p>
    <w:p>
      <w:pPr>
        <w:spacing w:line="600" w:lineRule="exact"/>
        <w:ind w:firstLine="642" w:firstLineChars="200"/>
        <w:rPr>
          <w:rFonts w:hint="eastAsia" w:ascii="仿宋_GB2312" w:hAnsi="仿宋_GB2312" w:eastAsia="仿宋_GB2312" w:cs="仿宋_GB2312"/>
          <w:b/>
          <w:sz w:val="32"/>
          <w:szCs w:val="32"/>
        </w:rPr>
      </w:pPr>
      <w:r>
        <w:rPr>
          <w:rStyle w:val="17"/>
          <w:rFonts w:hint="eastAsia" w:ascii="仿宋_GB2312" w:hAnsi="仿宋_GB2312" w:eastAsia="仿宋_GB2312" w:cs="仿宋_GB2312"/>
          <w:bCs/>
          <w:sz w:val="32"/>
          <w:szCs w:val="32"/>
          <w:lang w:val="en-US" w:eastAsia="zh-CN"/>
        </w:rPr>
        <w:t>1</w:t>
      </w:r>
      <w:r>
        <w:rPr>
          <w:rStyle w:val="17"/>
          <w:rFonts w:hint="eastAsia" w:ascii="仿宋_GB2312" w:hAnsi="仿宋_GB2312" w:eastAsia="仿宋_GB2312" w:cs="仿宋_GB2312"/>
          <w:bCs/>
          <w:sz w:val="32"/>
          <w:szCs w:val="32"/>
        </w:rPr>
        <w:t>.教育支出（类）职业教育（款）技校教育（项）</w:t>
      </w:r>
      <w:r>
        <w:rPr>
          <w:rStyle w:val="17"/>
          <w:rFonts w:hint="eastAsia" w:ascii="仿宋_GB2312" w:hAnsi="仿宋_GB2312" w:eastAsia="仿宋_GB2312" w:cs="仿宋_GB2312"/>
          <w:bCs/>
          <w:sz w:val="32"/>
          <w:szCs w:val="32"/>
          <w:lang w:eastAsia="zh-CN"/>
        </w:rPr>
        <w:t>：</w:t>
      </w:r>
      <w:r>
        <w:rPr>
          <w:rStyle w:val="17"/>
          <w:rFonts w:hint="eastAsia" w:ascii="仿宋_GB2312" w:hAnsi="仿宋_GB2312" w:eastAsia="仿宋_GB2312" w:cs="仿宋_GB2312"/>
          <w:b w:val="0"/>
          <w:bCs/>
          <w:sz w:val="32"/>
          <w:szCs w:val="32"/>
        </w:rPr>
        <w:t xml:space="preserve"> 支出决算为</w:t>
      </w:r>
      <w:r>
        <w:rPr>
          <w:rStyle w:val="17"/>
          <w:rFonts w:hint="eastAsia" w:ascii="仿宋_GB2312" w:hAnsi="仿宋_GB2312" w:eastAsia="仿宋_GB2312" w:cs="仿宋_GB2312"/>
          <w:b w:val="0"/>
          <w:bCs/>
          <w:sz w:val="32"/>
          <w:szCs w:val="32"/>
          <w:lang w:val="en-US" w:eastAsia="zh-CN"/>
        </w:rPr>
        <w:t>552.24</w:t>
      </w:r>
      <w:r>
        <w:rPr>
          <w:rStyle w:val="17"/>
          <w:rFonts w:hint="eastAsia" w:ascii="仿宋_GB2312" w:hAnsi="仿宋_GB2312" w:eastAsia="仿宋_GB2312" w:cs="仿宋_GB2312"/>
          <w:b w:val="0"/>
          <w:bCs/>
          <w:sz w:val="32"/>
          <w:szCs w:val="32"/>
        </w:rPr>
        <w:t>万元，完成预算</w:t>
      </w:r>
      <w:r>
        <w:rPr>
          <w:rStyle w:val="17"/>
          <w:rFonts w:hint="eastAsia" w:ascii="仿宋_GB2312" w:hAnsi="仿宋_GB2312" w:eastAsia="仿宋_GB2312" w:cs="仿宋_GB2312"/>
          <w:b w:val="0"/>
          <w:bCs/>
          <w:sz w:val="32"/>
          <w:szCs w:val="32"/>
          <w:lang w:val="en-US" w:eastAsia="zh-CN"/>
        </w:rPr>
        <w:t>99.51</w:t>
      </w:r>
      <w:r>
        <w:rPr>
          <w:rStyle w:val="17"/>
          <w:rFonts w:hint="eastAsia" w:ascii="仿宋_GB2312" w:hAnsi="仿宋_GB2312" w:eastAsia="仿宋_GB2312" w:cs="仿宋_GB2312"/>
          <w:b w:val="0"/>
          <w:bCs/>
          <w:sz w:val="32"/>
          <w:szCs w:val="32"/>
        </w:rPr>
        <w:t>%，决算数小于预算数的主要原因是</w:t>
      </w:r>
      <w:r>
        <w:rPr>
          <w:rStyle w:val="17"/>
          <w:rFonts w:hint="eastAsia" w:ascii="仿宋_GB2312" w:hAnsi="仿宋_GB2312" w:eastAsia="仿宋_GB2312" w:cs="仿宋_GB2312"/>
          <w:b w:val="0"/>
          <w:bCs/>
          <w:sz w:val="32"/>
          <w:szCs w:val="32"/>
          <w:lang w:eastAsia="zh-CN"/>
        </w:rPr>
        <w:t>部分费用在下年度支付</w:t>
      </w:r>
      <w:r>
        <w:rPr>
          <w:rStyle w:val="17"/>
          <w:rFonts w:hint="eastAsia" w:ascii="仿宋_GB2312" w:hAnsi="仿宋_GB2312" w:eastAsia="仿宋_GB2312" w:cs="仿宋_GB2312"/>
          <w:b w:val="0"/>
          <w:bCs/>
          <w:sz w:val="32"/>
          <w:szCs w:val="32"/>
        </w:rPr>
        <w:t>。</w:t>
      </w:r>
    </w:p>
    <w:p>
      <w:pPr>
        <w:spacing w:line="600" w:lineRule="exact"/>
        <w:ind w:firstLine="642" w:firstLineChars="200"/>
        <w:rPr>
          <w:rStyle w:val="17"/>
          <w:rFonts w:hint="eastAsia" w:ascii="仿宋_GB2312" w:hAnsi="仿宋_GB2312" w:eastAsia="仿宋_GB2312" w:cs="仿宋_GB2312"/>
          <w:b w:val="0"/>
          <w:bCs/>
          <w:sz w:val="32"/>
          <w:szCs w:val="32"/>
        </w:rPr>
      </w:pPr>
      <w:r>
        <w:rPr>
          <w:rStyle w:val="17"/>
          <w:rFonts w:hint="eastAsia" w:ascii="仿宋_GB2312" w:hAnsi="仿宋_GB2312" w:eastAsia="仿宋_GB2312" w:cs="仿宋_GB2312"/>
          <w:bCs/>
          <w:sz w:val="32"/>
          <w:szCs w:val="32"/>
          <w:lang w:val="en-US" w:eastAsia="zh-CN"/>
        </w:rPr>
        <w:t>2</w:t>
      </w:r>
      <w:r>
        <w:rPr>
          <w:rStyle w:val="17"/>
          <w:rFonts w:hint="eastAsia" w:ascii="仿宋_GB2312" w:hAnsi="仿宋_GB2312" w:eastAsia="仿宋_GB2312" w:cs="仿宋_GB2312"/>
          <w:bCs/>
          <w:sz w:val="32"/>
          <w:szCs w:val="32"/>
        </w:rPr>
        <w:t>.社会保障和就业</w:t>
      </w:r>
      <w:r>
        <w:rPr>
          <w:rStyle w:val="17"/>
          <w:rFonts w:hint="eastAsia" w:ascii="仿宋_GB2312" w:hAnsi="仿宋_GB2312" w:eastAsia="仿宋_GB2312" w:cs="仿宋_GB2312"/>
          <w:bCs/>
          <w:sz w:val="32"/>
          <w:szCs w:val="32"/>
          <w:lang w:eastAsia="zh-CN"/>
        </w:rPr>
        <w:t>支出</w:t>
      </w:r>
      <w:r>
        <w:rPr>
          <w:rStyle w:val="17"/>
          <w:rFonts w:hint="eastAsia" w:ascii="仿宋_GB2312" w:hAnsi="仿宋_GB2312" w:eastAsia="仿宋_GB2312" w:cs="仿宋_GB2312"/>
          <w:bCs/>
          <w:sz w:val="32"/>
          <w:szCs w:val="32"/>
        </w:rPr>
        <w:t>（类）行政事业单位养老支出（款）机关事业单位基本养老保险缴费支出（项）</w:t>
      </w:r>
      <w:r>
        <w:rPr>
          <w:rStyle w:val="17"/>
          <w:rFonts w:hint="eastAsia" w:ascii="仿宋_GB2312" w:hAnsi="仿宋_GB2312" w:eastAsia="仿宋_GB2312" w:cs="仿宋_GB2312"/>
          <w:bCs/>
          <w:sz w:val="32"/>
          <w:szCs w:val="32"/>
          <w:lang w:eastAsia="zh-CN"/>
        </w:rPr>
        <w:t>：</w:t>
      </w:r>
      <w:r>
        <w:rPr>
          <w:rStyle w:val="17"/>
          <w:rFonts w:hint="eastAsia" w:ascii="仿宋_GB2312" w:hAnsi="仿宋_GB2312" w:eastAsia="仿宋_GB2312" w:cs="仿宋_GB2312"/>
          <w:b w:val="0"/>
          <w:bCs/>
          <w:sz w:val="32"/>
          <w:szCs w:val="32"/>
        </w:rPr>
        <w:t xml:space="preserve"> 支出决算为</w:t>
      </w:r>
      <w:r>
        <w:rPr>
          <w:rStyle w:val="17"/>
          <w:rFonts w:hint="eastAsia" w:ascii="仿宋_GB2312" w:hAnsi="仿宋_GB2312" w:eastAsia="仿宋_GB2312" w:cs="仿宋_GB2312"/>
          <w:b w:val="0"/>
          <w:bCs/>
          <w:sz w:val="32"/>
          <w:szCs w:val="32"/>
          <w:lang w:val="en-US" w:eastAsia="zh-CN"/>
        </w:rPr>
        <w:t>21.44</w:t>
      </w:r>
      <w:r>
        <w:rPr>
          <w:rStyle w:val="17"/>
          <w:rFonts w:hint="eastAsia" w:ascii="仿宋_GB2312" w:hAnsi="仿宋_GB2312" w:eastAsia="仿宋_GB2312" w:cs="仿宋_GB2312"/>
          <w:b w:val="0"/>
          <w:bCs/>
          <w:sz w:val="32"/>
          <w:szCs w:val="32"/>
        </w:rPr>
        <w:t>万元，完成预算</w:t>
      </w:r>
      <w:r>
        <w:rPr>
          <w:rStyle w:val="17"/>
          <w:rFonts w:hint="eastAsia" w:ascii="仿宋_GB2312" w:hAnsi="仿宋_GB2312" w:eastAsia="仿宋_GB2312" w:cs="仿宋_GB2312"/>
          <w:b w:val="0"/>
          <w:bCs/>
          <w:sz w:val="32"/>
          <w:szCs w:val="32"/>
          <w:lang w:val="en-US" w:eastAsia="zh-CN"/>
        </w:rPr>
        <w:t>100</w:t>
      </w:r>
      <w:r>
        <w:rPr>
          <w:rStyle w:val="17"/>
          <w:rFonts w:hint="eastAsia" w:ascii="仿宋_GB2312" w:hAnsi="仿宋_GB2312" w:eastAsia="仿宋_GB2312" w:cs="仿宋_GB2312"/>
          <w:b w:val="0"/>
          <w:bCs/>
          <w:sz w:val="32"/>
          <w:szCs w:val="32"/>
        </w:rPr>
        <w:t>%。</w:t>
      </w:r>
    </w:p>
    <w:p>
      <w:pPr>
        <w:pStyle w:val="2"/>
        <w:keepNext w:val="0"/>
        <w:keepLines w:val="0"/>
        <w:pageBreakBefore w:val="0"/>
        <w:widowControl w:val="0"/>
        <w:kinsoku/>
        <w:wordWrap/>
        <w:overflowPunct/>
        <w:topLinePunct w:val="0"/>
        <w:autoSpaceDE/>
        <w:autoSpaceDN/>
        <w:bidi w:val="0"/>
        <w:adjustRightInd/>
        <w:snapToGrid/>
        <w:ind w:firstLine="642" w:firstLineChars="200"/>
        <w:textAlignment w:val="auto"/>
        <w:rPr>
          <w:rStyle w:val="17"/>
          <w:rFonts w:hint="eastAsia" w:ascii="仿宋_GB2312" w:hAnsi="仿宋_GB2312" w:eastAsia="仿宋_GB2312" w:cs="仿宋_GB2312"/>
          <w:b w:val="0"/>
          <w:bCs/>
          <w:sz w:val="32"/>
          <w:szCs w:val="32"/>
        </w:rPr>
      </w:pPr>
      <w:r>
        <w:rPr>
          <w:rStyle w:val="17"/>
          <w:rFonts w:hint="eastAsia" w:ascii="仿宋_GB2312" w:hAnsi="仿宋_GB2312" w:eastAsia="仿宋_GB2312" w:cs="仿宋_GB2312"/>
          <w:bCs/>
          <w:sz w:val="32"/>
          <w:szCs w:val="32"/>
          <w:lang w:val="en-US" w:eastAsia="zh-CN"/>
        </w:rPr>
        <w:t>3</w:t>
      </w:r>
      <w:r>
        <w:rPr>
          <w:rStyle w:val="17"/>
          <w:rFonts w:hint="eastAsia" w:ascii="仿宋_GB2312" w:hAnsi="仿宋_GB2312" w:eastAsia="仿宋_GB2312" w:cs="仿宋_GB2312"/>
          <w:bCs/>
          <w:sz w:val="32"/>
          <w:szCs w:val="32"/>
        </w:rPr>
        <w:t>.社会保障和就业</w:t>
      </w:r>
      <w:r>
        <w:rPr>
          <w:rStyle w:val="17"/>
          <w:rFonts w:hint="eastAsia" w:ascii="仿宋_GB2312" w:hAnsi="仿宋_GB2312" w:eastAsia="仿宋_GB2312" w:cs="仿宋_GB2312"/>
          <w:bCs/>
          <w:sz w:val="32"/>
          <w:szCs w:val="32"/>
          <w:lang w:eastAsia="zh-CN"/>
        </w:rPr>
        <w:t>支出</w:t>
      </w:r>
      <w:r>
        <w:rPr>
          <w:rStyle w:val="17"/>
          <w:rFonts w:hint="eastAsia" w:ascii="仿宋_GB2312" w:hAnsi="仿宋_GB2312" w:eastAsia="仿宋_GB2312" w:cs="仿宋_GB2312"/>
          <w:bCs/>
          <w:sz w:val="32"/>
          <w:szCs w:val="32"/>
        </w:rPr>
        <w:t>（类）行政事业单位养老支出（款）机关事业单位职业年金缴费支出（项）</w:t>
      </w:r>
      <w:r>
        <w:rPr>
          <w:rStyle w:val="17"/>
          <w:rFonts w:hint="eastAsia" w:hAnsi="仿宋_GB2312" w:cs="仿宋_GB2312"/>
          <w:bCs/>
          <w:sz w:val="32"/>
          <w:szCs w:val="32"/>
          <w:lang w:eastAsia="zh-CN"/>
        </w:rPr>
        <w:t>：</w:t>
      </w:r>
      <w:r>
        <w:rPr>
          <w:rStyle w:val="17"/>
          <w:rFonts w:hint="eastAsia" w:ascii="仿宋_GB2312" w:hAnsi="仿宋_GB2312" w:eastAsia="仿宋_GB2312" w:cs="仿宋_GB2312"/>
          <w:b w:val="0"/>
          <w:bCs/>
          <w:sz w:val="32"/>
          <w:szCs w:val="32"/>
        </w:rPr>
        <w:t xml:space="preserve"> 支出决算为</w:t>
      </w:r>
      <w:r>
        <w:rPr>
          <w:rStyle w:val="17"/>
          <w:rFonts w:hint="eastAsia" w:ascii="仿宋_GB2312" w:hAnsi="仿宋_GB2312" w:eastAsia="仿宋_GB2312" w:cs="仿宋_GB2312"/>
          <w:b w:val="0"/>
          <w:bCs/>
          <w:sz w:val="32"/>
          <w:szCs w:val="32"/>
          <w:lang w:val="en-US" w:eastAsia="zh-CN"/>
        </w:rPr>
        <w:t>10.92</w:t>
      </w:r>
      <w:r>
        <w:rPr>
          <w:rStyle w:val="17"/>
          <w:rFonts w:hint="eastAsia" w:ascii="仿宋_GB2312" w:hAnsi="仿宋_GB2312" w:eastAsia="仿宋_GB2312" w:cs="仿宋_GB2312"/>
          <w:b w:val="0"/>
          <w:bCs/>
          <w:sz w:val="32"/>
          <w:szCs w:val="32"/>
        </w:rPr>
        <w:t>万元，完成预算</w:t>
      </w:r>
      <w:r>
        <w:rPr>
          <w:rStyle w:val="17"/>
          <w:rFonts w:hint="eastAsia" w:ascii="仿宋_GB2312" w:hAnsi="仿宋_GB2312" w:eastAsia="仿宋_GB2312" w:cs="仿宋_GB2312"/>
          <w:b w:val="0"/>
          <w:bCs/>
          <w:sz w:val="32"/>
          <w:szCs w:val="32"/>
          <w:lang w:val="en-US" w:eastAsia="zh-CN"/>
        </w:rPr>
        <w:t>100</w:t>
      </w:r>
      <w:r>
        <w:rPr>
          <w:rStyle w:val="17"/>
          <w:rFonts w:hint="eastAsia" w:ascii="仿宋_GB2312" w:hAnsi="仿宋_GB2312" w:eastAsia="仿宋_GB2312" w:cs="仿宋_GB2312"/>
          <w:b w:val="0"/>
          <w:bCs/>
          <w:sz w:val="32"/>
          <w:szCs w:val="32"/>
        </w:rPr>
        <w:t>%。</w:t>
      </w:r>
    </w:p>
    <w:p>
      <w:pPr>
        <w:pStyle w:val="2"/>
        <w:keepNext w:val="0"/>
        <w:keepLines w:val="0"/>
        <w:pageBreakBefore w:val="0"/>
        <w:widowControl w:val="0"/>
        <w:kinsoku/>
        <w:wordWrap/>
        <w:overflowPunct/>
        <w:topLinePunct w:val="0"/>
        <w:autoSpaceDE/>
        <w:autoSpaceDN/>
        <w:bidi w:val="0"/>
        <w:adjustRightInd/>
        <w:snapToGrid/>
        <w:ind w:firstLine="642" w:firstLineChars="200"/>
        <w:textAlignment w:val="auto"/>
        <w:rPr>
          <w:rStyle w:val="17"/>
          <w:rFonts w:hint="eastAsia" w:ascii="仿宋_GB2312" w:hAnsi="仿宋_GB2312" w:eastAsia="仿宋_GB2312" w:cs="仿宋_GB2312"/>
          <w:b w:val="0"/>
          <w:bCs/>
          <w:sz w:val="32"/>
          <w:szCs w:val="32"/>
        </w:rPr>
      </w:pPr>
      <w:r>
        <w:rPr>
          <w:rStyle w:val="17"/>
          <w:rFonts w:hint="eastAsia" w:ascii="仿宋_GB2312" w:hAnsi="仿宋_GB2312" w:eastAsia="仿宋_GB2312" w:cs="仿宋_GB2312"/>
          <w:bCs/>
          <w:sz w:val="32"/>
          <w:szCs w:val="32"/>
          <w:lang w:val="en-US" w:eastAsia="zh-CN"/>
        </w:rPr>
        <w:t>4</w:t>
      </w:r>
      <w:r>
        <w:rPr>
          <w:rStyle w:val="17"/>
          <w:rFonts w:hint="eastAsia" w:ascii="仿宋_GB2312" w:hAnsi="仿宋_GB2312" w:eastAsia="仿宋_GB2312" w:cs="仿宋_GB2312"/>
          <w:bCs/>
          <w:sz w:val="32"/>
          <w:szCs w:val="32"/>
        </w:rPr>
        <w:t>.社会保障和就业</w:t>
      </w:r>
      <w:r>
        <w:rPr>
          <w:rStyle w:val="17"/>
          <w:rFonts w:hint="eastAsia" w:ascii="仿宋_GB2312" w:hAnsi="仿宋_GB2312" w:eastAsia="仿宋_GB2312" w:cs="仿宋_GB2312"/>
          <w:bCs/>
          <w:sz w:val="32"/>
          <w:szCs w:val="32"/>
          <w:lang w:eastAsia="zh-CN"/>
        </w:rPr>
        <w:t>支出</w:t>
      </w:r>
      <w:r>
        <w:rPr>
          <w:rStyle w:val="17"/>
          <w:rFonts w:hint="eastAsia" w:ascii="仿宋_GB2312" w:hAnsi="仿宋_GB2312" w:eastAsia="仿宋_GB2312" w:cs="仿宋_GB2312"/>
          <w:bCs/>
          <w:sz w:val="32"/>
          <w:szCs w:val="32"/>
        </w:rPr>
        <w:t>（类）抚恤（款）死亡抚恤（项）</w:t>
      </w:r>
      <w:r>
        <w:rPr>
          <w:rStyle w:val="17"/>
          <w:rFonts w:hint="eastAsia" w:hAnsi="仿宋_GB2312" w:cs="仿宋_GB2312"/>
          <w:bCs/>
          <w:sz w:val="32"/>
          <w:szCs w:val="32"/>
          <w:lang w:eastAsia="zh-CN"/>
        </w:rPr>
        <w:t>：</w:t>
      </w:r>
      <w:r>
        <w:rPr>
          <w:rStyle w:val="17"/>
          <w:rFonts w:hint="eastAsia" w:ascii="仿宋_GB2312" w:hAnsi="仿宋_GB2312" w:eastAsia="仿宋_GB2312" w:cs="仿宋_GB2312"/>
          <w:b w:val="0"/>
          <w:bCs/>
          <w:sz w:val="32"/>
          <w:szCs w:val="32"/>
        </w:rPr>
        <w:t xml:space="preserve"> 支出决算为</w:t>
      </w:r>
      <w:r>
        <w:rPr>
          <w:rStyle w:val="17"/>
          <w:rFonts w:hint="eastAsia" w:ascii="仿宋_GB2312" w:hAnsi="仿宋_GB2312" w:eastAsia="仿宋_GB2312" w:cs="仿宋_GB2312"/>
          <w:b w:val="0"/>
          <w:bCs/>
          <w:sz w:val="32"/>
          <w:szCs w:val="32"/>
          <w:lang w:val="en-US" w:eastAsia="zh-CN"/>
        </w:rPr>
        <w:t>7.09</w:t>
      </w:r>
      <w:r>
        <w:rPr>
          <w:rStyle w:val="17"/>
          <w:rFonts w:hint="eastAsia" w:ascii="仿宋_GB2312" w:hAnsi="仿宋_GB2312" w:eastAsia="仿宋_GB2312" w:cs="仿宋_GB2312"/>
          <w:b w:val="0"/>
          <w:bCs/>
          <w:sz w:val="32"/>
          <w:szCs w:val="32"/>
        </w:rPr>
        <w:t>万元，完成预算</w:t>
      </w:r>
      <w:r>
        <w:rPr>
          <w:rStyle w:val="17"/>
          <w:rFonts w:hint="eastAsia" w:ascii="仿宋_GB2312" w:hAnsi="仿宋_GB2312" w:eastAsia="仿宋_GB2312" w:cs="仿宋_GB2312"/>
          <w:b w:val="0"/>
          <w:bCs/>
          <w:sz w:val="32"/>
          <w:szCs w:val="32"/>
          <w:lang w:val="en-US" w:eastAsia="zh-CN"/>
        </w:rPr>
        <w:t>100</w:t>
      </w:r>
      <w:r>
        <w:rPr>
          <w:rStyle w:val="17"/>
          <w:rFonts w:hint="eastAsia" w:ascii="仿宋_GB2312" w:hAnsi="仿宋_GB2312" w:eastAsia="仿宋_GB2312" w:cs="仿宋_GB2312"/>
          <w:b w:val="0"/>
          <w:bCs/>
          <w:sz w:val="32"/>
          <w:szCs w:val="32"/>
        </w:rPr>
        <w:t>%。</w:t>
      </w:r>
    </w:p>
    <w:p>
      <w:pPr>
        <w:spacing w:line="600" w:lineRule="exact"/>
        <w:ind w:firstLine="642" w:firstLineChars="200"/>
        <w:rPr>
          <w:rFonts w:hint="eastAsia" w:ascii="仿宋_GB2312" w:hAnsi="仿宋_GB2312" w:eastAsia="仿宋_GB2312" w:cs="仿宋_GB2312"/>
          <w:b/>
          <w:sz w:val="32"/>
          <w:szCs w:val="32"/>
        </w:rPr>
      </w:pPr>
      <w:r>
        <w:rPr>
          <w:rStyle w:val="17"/>
          <w:rFonts w:hint="eastAsia" w:ascii="仿宋_GB2312" w:hAnsi="仿宋_GB2312" w:eastAsia="仿宋_GB2312" w:cs="仿宋_GB2312"/>
          <w:bCs/>
          <w:sz w:val="32"/>
          <w:szCs w:val="32"/>
          <w:lang w:val="en-US" w:eastAsia="zh-CN"/>
        </w:rPr>
        <w:t>5</w:t>
      </w:r>
      <w:r>
        <w:rPr>
          <w:rStyle w:val="17"/>
          <w:rFonts w:hint="eastAsia" w:ascii="仿宋_GB2312" w:hAnsi="仿宋_GB2312" w:eastAsia="仿宋_GB2312" w:cs="仿宋_GB2312"/>
          <w:bCs/>
          <w:sz w:val="32"/>
          <w:szCs w:val="32"/>
        </w:rPr>
        <w:t>.</w:t>
      </w:r>
      <w:r>
        <w:rPr>
          <w:rFonts w:hint="eastAsia" w:ascii="仿宋_GB2312" w:hAnsi="仿宋_GB2312" w:eastAsia="仿宋_GB2312" w:cs="仿宋_GB2312"/>
          <w:b/>
          <w:bCs/>
          <w:sz w:val="32"/>
          <w:szCs w:val="32"/>
        </w:rPr>
        <w:t>卫生健康</w:t>
      </w:r>
      <w:r>
        <w:rPr>
          <w:rFonts w:hint="eastAsia" w:ascii="仿宋_GB2312" w:hAnsi="仿宋_GB2312" w:eastAsia="仿宋_GB2312" w:cs="仿宋_GB2312"/>
          <w:b/>
          <w:bCs/>
          <w:sz w:val="32"/>
          <w:szCs w:val="32"/>
          <w:lang w:eastAsia="zh-CN"/>
        </w:rPr>
        <w:t>支出</w:t>
      </w:r>
      <w:r>
        <w:rPr>
          <w:rStyle w:val="17"/>
          <w:rFonts w:hint="eastAsia" w:ascii="仿宋_GB2312" w:hAnsi="仿宋_GB2312" w:eastAsia="仿宋_GB2312" w:cs="仿宋_GB2312"/>
          <w:bCs/>
          <w:sz w:val="32"/>
          <w:szCs w:val="32"/>
        </w:rPr>
        <w:t>（类）行政事业单位医疗（款）事业单位医疗（项）</w:t>
      </w:r>
      <w:r>
        <w:rPr>
          <w:rStyle w:val="17"/>
          <w:rFonts w:hint="eastAsia" w:ascii="仿宋_GB2312" w:hAnsi="仿宋_GB2312" w:eastAsia="仿宋_GB2312" w:cs="仿宋_GB2312"/>
          <w:bCs/>
          <w:sz w:val="32"/>
          <w:szCs w:val="32"/>
          <w:lang w:eastAsia="zh-CN"/>
        </w:rPr>
        <w:t>：</w:t>
      </w:r>
      <w:r>
        <w:rPr>
          <w:rStyle w:val="17"/>
          <w:rFonts w:hint="eastAsia" w:ascii="仿宋_GB2312" w:hAnsi="仿宋_GB2312" w:eastAsia="仿宋_GB2312" w:cs="仿宋_GB2312"/>
          <w:b w:val="0"/>
          <w:bCs/>
          <w:sz w:val="32"/>
          <w:szCs w:val="32"/>
        </w:rPr>
        <w:t>支出决算为</w:t>
      </w:r>
      <w:r>
        <w:rPr>
          <w:rStyle w:val="17"/>
          <w:rFonts w:hint="eastAsia" w:ascii="仿宋_GB2312" w:hAnsi="仿宋_GB2312" w:eastAsia="仿宋_GB2312" w:cs="仿宋_GB2312"/>
          <w:b w:val="0"/>
          <w:bCs/>
          <w:sz w:val="32"/>
          <w:szCs w:val="32"/>
          <w:lang w:val="en-US" w:eastAsia="zh-CN"/>
        </w:rPr>
        <w:t>33.11</w:t>
      </w:r>
      <w:r>
        <w:rPr>
          <w:rStyle w:val="17"/>
          <w:rFonts w:hint="eastAsia" w:ascii="仿宋_GB2312" w:hAnsi="仿宋_GB2312" w:eastAsia="仿宋_GB2312" w:cs="仿宋_GB2312"/>
          <w:b w:val="0"/>
          <w:bCs/>
          <w:sz w:val="32"/>
          <w:szCs w:val="32"/>
        </w:rPr>
        <w:t>万元，完成预算</w:t>
      </w:r>
      <w:r>
        <w:rPr>
          <w:rStyle w:val="17"/>
          <w:rFonts w:hint="eastAsia" w:ascii="仿宋_GB2312" w:hAnsi="仿宋_GB2312" w:eastAsia="仿宋_GB2312" w:cs="仿宋_GB2312"/>
          <w:b w:val="0"/>
          <w:bCs/>
          <w:sz w:val="32"/>
          <w:szCs w:val="32"/>
          <w:lang w:val="en-US" w:eastAsia="zh-CN"/>
        </w:rPr>
        <w:t>100</w:t>
      </w:r>
      <w:r>
        <w:rPr>
          <w:rStyle w:val="17"/>
          <w:rFonts w:hint="eastAsia" w:ascii="仿宋_GB2312" w:hAnsi="仿宋_GB2312" w:eastAsia="仿宋_GB2312" w:cs="仿宋_GB2312"/>
          <w:b w:val="0"/>
          <w:bCs/>
          <w:sz w:val="32"/>
          <w:szCs w:val="32"/>
        </w:rPr>
        <w:t>%。</w:t>
      </w:r>
    </w:p>
    <w:p>
      <w:pPr>
        <w:spacing w:line="600" w:lineRule="exact"/>
        <w:ind w:firstLine="642" w:firstLineChars="200"/>
        <w:rPr>
          <w:rStyle w:val="17"/>
          <w:rFonts w:hint="eastAsia" w:ascii="仿宋_GB2312" w:hAnsi="仿宋_GB2312" w:eastAsia="仿宋_GB2312" w:cs="仿宋_GB2312"/>
          <w:b w:val="0"/>
          <w:bCs/>
          <w:sz w:val="32"/>
          <w:szCs w:val="32"/>
        </w:rPr>
      </w:pPr>
      <w:r>
        <w:rPr>
          <w:rStyle w:val="17"/>
          <w:rFonts w:hint="eastAsia" w:ascii="仿宋_GB2312" w:hAnsi="仿宋_GB2312" w:eastAsia="仿宋_GB2312" w:cs="仿宋_GB2312"/>
          <w:bCs/>
          <w:sz w:val="32"/>
          <w:szCs w:val="32"/>
        </w:rPr>
        <w:t>6.</w:t>
      </w:r>
      <w:r>
        <w:rPr>
          <w:rFonts w:hint="eastAsia" w:ascii="仿宋_GB2312" w:hAnsi="仿宋_GB2312" w:eastAsia="仿宋_GB2312" w:cs="仿宋_GB2312"/>
          <w:b/>
          <w:bCs/>
          <w:sz w:val="32"/>
          <w:szCs w:val="32"/>
        </w:rPr>
        <w:t>住房保障支出</w:t>
      </w:r>
      <w:r>
        <w:rPr>
          <w:rStyle w:val="17"/>
          <w:rFonts w:hint="eastAsia" w:ascii="仿宋_GB2312" w:hAnsi="仿宋_GB2312" w:eastAsia="仿宋_GB2312" w:cs="仿宋_GB2312"/>
          <w:bCs/>
          <w:sz w:val="32"/>
          <w:szCs w:val="32"/>
        </w:rPr>
        <w:t>（类）住房改革支出（款）住房公积金（项）</w:t>
      </w:r>
      <w:r>
        <w:rPr>
          <w:rStyle w:val="17"/>
          <w:rFonts w:hint="eastAsia" w:ascii="仿宋_GB2312" w:hAnsi="仿宋_GB2312" w:eastAsia="仿宋_GB2312" w:cs="仿宋_GB2312"/>
          <w:bCs/>
          <w:sz w:val="32"/>
          <w:szCs w:val="32"/>
          <w:lang w:eastAsia="zh-CN"/>
        </w:rPr>
        <w:t>：</w:t>
      </w:r>
      <w:r>
        <w:rPr>
          <w:rStyle w:val="17"/>
          <w:rFonts w:hint="eastAsia" w:ascii="仿宋_GB2312" w:hAnsi="仿宋_GB2312" w:eastAsia="仿宋_GB2312" w:cs="仿宋_GB2312"/>
          <w:b w:val="0"/>
          <w:bCs/>
          <w:sz w:val="32"/>
          <w:szCs w:val="32"/>
        </w:rPr>
        <w:t>支出决算为</w:t>
      </w:r>
      <w:r>
        <w:rPr>
          <w:rStyle w:val="17"/>
          <w:rFonts w:hint="eastAsia" w:ascii="仿宋_GB2312" w:hAnsi="仿宋_GB2312" w:eastAsia="仿宋_GB2312" w:cs="仿宋_GB2312"/>
          <w:b w:val="0"/>
          <w:bCs/>
          <w:sz w:val="32"/>
          <w:szCs w:val="32"/>
          <w:lang w:val="en-US" w:eastAsia="zh-CN"/>
        </w:rPr>
        <w:t>33.34</w:t>
      </w:r>
      <w:r>
        <w:rPr>
          <w:rStyle w:val="17"/>
          <w:rFonts w:hint="eastAsia" w:ascii="仿宋_GB2312" w:hAnsi="仿宋_GB2312" w:eastAsia="仿宋_GB2312" w:cs="仿宋_GB2312"/>
          <w:b w:val="0"/>
          <w:bCs/>
          <w:sz w:val="32"/>
          <w:szCs w:val="32"/>
        </w:rPr>
        <w:t>万元，完成预算</w:t>
      </w:r>
      <w:r>
        <w:rPr>
          <w:rStyle w:val="17"/>
          <w:rFonts w:hint="eastAsia" w:ascii="仿宋_GB2312" w:hAnsi="仿宋_GB2312" w:eastAsia="仿宋_GB2312" w:cs="仿宋_GB2312"/>
          <w:b w:val="0"/>
          <w:bCs/>
          <w:sz w:val="32"/>
          <w:szCs w:val="32"/>
          <w:lang w:val="en-US" w:eastAsia="zh-CN"/>
        </w:rPr>
        <w:t>100</w:t>
      </w:r>
      <w:r>
        <w:rPr>
          <w:rStyle w:val="17"/>
          <w:rFonts w:hint="eastAsia" w:ascii="仿宋_GB2312" w:hAnsi="仿宋_GB2312" w:eastAsia="仿宋_GB2312" w:cs="仿宋_GB2312"/>
          <w:b w:val="0"/>
          <w:bCs/>
          <w:sz w:val="32"/>
          <w:szCs w:val="32"/>
        </w:rPr>
        <w:t>%。</w:t>
      </w:r>
    </w:p>
    <w:p>
      <w:pPr>
        <w:tabs>
          <w:tab w:val="right" w:pos="8306"/>
        </w:tabs>
        <w:spacing w:line="600" w:lineRule="exact"/>
        <w:ind w:firstLine="640"/>
        <w:outlineLvl w:val="1"/>
        <w:rPr>
          <w:rStyle w:val="29"/>
        </w:rPr>
      </w:pPr>
      <w:bookmarkStart w:id="48" w:name="_Toc15396608"/>
      <w:bookmarkStart w:id="49" w:name="_Toc15377214"/>
      <w:bookmarkStart w:id="50" w:name="_Toc23453"/>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29"/>
          <w:rFonts w:hint="eastAsia" w:ascii="黑体" w:hAnsi="黑体" w:eastAsia="黑体"/>
          <w:b w:val="0"/>
        </w:rPr>
        <w:t>般公共预算财政拨款基本支出决算情况说明</w:t>
      </w:r>
      <w:bookmarkEnd w:id="48"/>
      <w:bookmarkEnd w:id="49"/>
      <w:bookmarkEnd w:id="50"/>
      <w:r>
        <w:rPr>
          <w:rStyle w:val="29"/>
          <w:rFonts w:ascii="黑体" w:hAnsi="黑体" w:eastAsia="黑体"/>
          <w:b w:val="0"/>
        </w:rPr>
        <w:tab/>
      </w:r>
    </w:p>
    <w:p>
      <w:pPr>
        <w:spacing w:line="600" w:lineRule="exact"/>
        <w:ind w:firstLine="64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2023年度一般公共预算财政拨款基本支出</w:t>
      </w:r>
      <w:r>
        <w:rPr>
          <w:rFonts w:hint="eastAsia" w:ascii="仿宋_GB2312" w:hAnsi="仿宋_GB2312" w:eastAsia="仿宋_GB2312" w:cs="仿宋_GB2312"/>
          <w:b/>
          <w:sz w:val="32"/>
          <w:szCs w:val="32"/>
        </w:rPr>
        <w:t>395.41</w:t>
      </w:r>
      <w:r>
        <w:rPr>
          <w:rFonts w:hint="eastAsia" w:ascii="仿宋_GB2312" w:hAnsi="仿宋_GB2312" w:eastAsia="仿宋_GB2312" w:cs="仿宋_GB2312"/>
          <w:sz w:val="32"/>
          <w:szCs w:val="32"/>
        </w:rPr>
        <w:t>万元，其中：</w:t>
      </w:r>
    </w:p>
    <w:p>
      <w:pPr>
        <w:spacing w:line="600" w:lineRule="exact"/>
        <w:ind w:firstLine="64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人员经费</w:t>
      </w:r>
      <w:r>
        <w:rPr>
          <w:rFonts w:hint="eastAsia" w:ascii="仿宋_GB2312" w:hAnsi="仿宋_GB2312" w:eastAsia="仿宋_GB2312" w:cs="仿宋_GB2312"/>
          <w:b/>
          <w:sz w:val="32"/>
          <w:szCs w:val="32"/>
        </w:rPr>
        <w:t>367.66</w:t>
      </w:r>
      <w:r>
        <w:rPr>
          <w:rFonts w:hint="eastAsia" w:ascii="仿宋_GB2312" w:hAnsi="仿宋_GB2312" w:eastAsia="仿宋_GB2312" w:cs="仿宋_GB2312"/>
          <w:sz w:val="32"/>
          <w:szCs w:val="32"/>
        </w:rPr>
        <w:t>万元，主要包括：基本工资、津贴补贴、奖金、绩效工资、机关事业单位基本养老保险缴费、职业年金缴费、职工基本医疗保险缴费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住房公积金、其他工资福利支出、抚恤金、生活补助、奖励金、其他对个人和家庭的补助支出。</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公用经费</w:t>
      </w:r>
      <w:r>
        <w:rPr>
          <w:rFonts w:hint="eastAsia" w:ascii="仿宋_GB2312" w:hAnsi="仿宋_GB2312" w:eastAsia="仿宋_GB2312" w:cs="仿宋_GB2312"/>
          <w:b/>
          <w:sz w:val="32"/>
          <w:szCs w:val="32"/>
        </w:rPr>
        <w:t>27.7</w:t>
      </w:r>
      <w:r>
        <w:rPr>
          <w:rFonts w:hint="eastAsia" w:ascii="仿宋_GB2312" w:hAnsi="仿宋_GB2312" w:eastAsia="仿宋_GB2312" w:cs="仿宋_GB2312"/>
          <w:b/>
          <w:sz w:val="32"/>
          <w:szCs w:val="32"/>
          <w:lang w:val="en-US" w:eastAsia="zh-CN"/>
        </w:rPr>
        <w:t>5</w:t>
      </w:r>
      <w:r>
        <w:rPr>
          <w:rFonts w:hint="eastAsia" w:ascii="仿宋_GB2312" w:hAnsi="仿宋_GB2312" w:eastAsia="仿宋_GB2312" w:cs="仿宋_GB2312"/>
          <w:sz w:val="32"/>
          <w:szCs w:val="32"/>
        </w:rPr>
        <w:t>万元，主要包括：办公费、印刷费、水费、电费、邮电费、物业管理费、差旅费、维修（护）费、公务接待费、劳务费、工会经费、福利费、其他商品和服务支出。</w:t>
      </w:r>
    </w:p>
    <w:p>
      <w:pPr>
        <w:spacing w:line="600" w:lineRule="exact"/>
        <w:ind w:firstLine="640"/>
        <w:outlineLvl w:val="1"/>
        <w:rPr>
          <w:rStyle w:val="29"/>
          <w:rFonts w:ascii="黑体" w:hAnsi="黑体" w:eastAsia="黑体"/>
          <w:b w:val="0"/>
        </w:rPr>
      </w:pPr>
      <w:bookmarkStart w:id="51" w:name="_Toc15396609"/>
      <w:bookmarkStart w:id="52" w:name="_Toc15377215"/>
      <w:bookmarkStart w:id="53" w:name="_Toc4826"/>
      <w:r>
        <w:rPr>
          <w:rFonts w:hint="eastAsia" w:ascii="黑体" w:eastAsia="黑体"/>
          <w:sz w:val="32"/>
          <w:szCs w:val="32"/>
        </w:rPr>
        <w:t>七、</w:t>
      </w:r>
      <w:r>
        <w:rPr>
          <w:rStyle w:val="29"/>
          <w:rFonts w:hint="eastAsia" w:ascii="黑体" w:hAnsi="黑体" w:eastAsia="黑体"/>
          <w:b w:val="0"/>
        </w:rPr>
        <w:t>财政拨款</w:t>
      </w:r>
      <w:r>
        <w:rPr>
          <w:rStyle w:val="29"/>
          <w:rFonts w:hint="eastAsia" w:ascii="黑体" w:hAnsi="黑体" w:eastAsia="黑体"/>
        </w:rPr>
        <w:t>“</w:t>
      </w:r>
      <w:r>
        <w:rPr>
          <w:rStyle w:val="29"/>
          <w:rFonts w:hint="eastAsia" w:ascii="黑体" w:hAnsi="黑体" w:eastAsia="黑体"/>
          <w:b w:val="0"/>
        </w:rPr>
        <w:t>三公”经费支出决算情况说明</w:t>
      </w:r>
      <w:bookmarkEnd w:id="51"/>
      <w:bookmarkEnd w:id="52"/>
      <w:bookmarkEnd w:id="53"/>
    </w:p>
    <w:p>
      <w:pPr>
        <w:spacing w:line="600" w:lineRule="exact"/>
        <w:ind w:firstLine="640"/>
        <w:outlineLvl w:val="2"/>
        <w:rPr>
          <w:rFonts w:hint="eastAsia" w:ascii="仿宋_GB2312" w:hAnsi="仿宋_GB2312" w:eastAsia="仿宋_GB2312" w:cs="仿宋_GB2312"/>
          <w:b/>
          <w:sz w:val="32"/>
          <w:szCs w:val="32"/>
        </w:rPr>
      </w:pPr>
      <w:bookmarkStart w:id="54" w:name="_Toc15377216"/>
      <w:r>
        <w:rPr>
          <w:rFonts w:hint="eastAsia" w:ascii="仿宋_GB2312" w:hAnsi="仿宋_GB2312" w:eastAsia="仿宋_GB2312" w:cs="仿宋_GB2312"/>
          <w:b/>
          <w:sz w:val="32"/>
          <w:szCs w:val="32"/>
        </w:rPr>
        <w:t>（一）“三公”经费财政拨款支出决算总体情况说明</w:t>
      </w:r>
      <w:bookmarkEnd w:id="54"/>
    </w:p>
    <w:p>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2023年度“三公”经费财政拨款支出决算为</w:t>
      </w:r>
      <w:r>
        <w:rPr>
          <w:rFonts w:hint="eastAsia" w:ascii="仿宋_GB2312" w:hAnsi="仿宋_GB2312" w:eastAsia="仿宋_GB2312" w:cs="仿宋_GB2312"/>
          <w:b/>
          <w:sz w:val="32"/>
          <w:szCs w:val="32"/>
        </w:rPr>
        <w:t>0.08</w:t>
      </w:r>
      <w:r>
        <w:rPr>
          <w:rFonts w:hint="eastAsia" w:ascii="仿宋_GB2312" w:hAnsi="仿宋_GB2312" w:eastAsia="仿宋_GB2312" w:cs="仿宋_GB2312"/>
          <w:sz w:val="32"/>
          <w:szCs w:val="32"/>
        </w:rPr>
        <w:t>万元，完成预算</w:t>
      </w:r>
      <w:r>
        <w:rPr>
          <w:rFonts w:hint="eastAsia" w:ascii="仿宋_GB2312" w:hAnsi="仿宋_GB2312" w:eastAsia="仿宋_GB2312" w:cs="仿宋_GB2312"/>
          <w:b/>
          <w:sz w:val="32"/>
          <w:szCs w:val="32"/>
          <w:lang w:val="en-US" w:eastAsia="zh-CN"/>
        </w:rPr>
        <w:t>25</w:t>
      </w:r>
      <w:r>
        <w:rPr>
          <w:rFonts w:hint="eastAsia" w:ascii="仿宋_GB2312" w:hAnsi="仿宋_GB2312" w:eastAsia="仿宋_GB2312" w:cs="仿宋_GB2312"/>
          <w:sz w:val="32"/>
          <w:szCs w:val="32"/>
        </w:rPr>
        <w:t>%，较上年度增加</w:t>
      </w:r>
      <w:r>
        <w:rPr>
          <w:rFonts w:hint="eastAsia" w:ascii="仿宋_GB2312" w:hAnsi="仿宋_GB2312" w:eastAsia="仿宋_GB2312" w:cs="仿宋_GB2312"/>
          <w:sz w:val="32"/>
          <w:szCs w:val="32"/>
          <w:lang w:val="en-US" w:eastAsia="zh-CN"/>
        </w:rPr>
        <w:t>0.08</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%。决算数小于预算数的主要原因是</w:t>
      </w:r>
      <w:r>
        <w:rPr>
          <w:rFonts w:hint="eastAsia" w:ascii="仿宋_GB2312" w:hAnsi="仿宋_GB2312" w:eastAsia="仿宋_GB2312" w:cs="仿宋_GB2312"/>
          <w:sz w:val="32"/>
          <w:szCs w:val="32"/>
          <w:lang w:eastAsia="zh-CN"/>
        </w:rPr>
        <w:t>厉行节约减少了支出</w:t>
      </w:r>
      <w:r>
        <w:rPr>
          <w:rFonts w:hint="eastAsia" w:ascii="仿宋_GB2312" w:hAnsi="仿宋_GB2312" w:eastAsia="仿宋_GB2312" w:cs="仿宋_GB2312"/>
          <w:sz w:val="32"/>
          <w:szCs w:val="32"/>
        </w:rPr>
        <w:t>。</w:t>
      </w:r>
    </w:p>
    <w:p>
      <w:pPr>
        <w:spacing w:line="600" w:lineRule="exact"/>
        <w:ind w:firstLine="640"/>
        <w:outlineLvl w:val="2"/>
        <w:rPr>
          <w:rFonts w:hint="eastAsia" w:ascii="仿宋_GB2312" w:hAnsi="仿宋_GB2312" w:eastAsia="仿宋_GB2312" w:cs="仿宋_GB2312"/>
          <w:b/>
          <w:sz w:val="32"/>
          <w:szCs w:val="32"/>
        </w:rPr>
      </w:pPr>
      <w:bookmarkStart w:id="55" w:name="_Toc15377217"/>
      <w:r>
        <w:rPr>
          <w:rFonts w:hint="eastAsia" w:ascii="仿宋_GB2312" w:hAnsi="仿宋_GB2312" w:eastAsia="仿宋_GB2312" w:cs="仿宋_GB2312"/>
          <w:b/>
          <w:sz w:val="32"/>
          <w:szCs w:val="32"/>
        </w:rPr>
        <w:t>（二）“三公”经费财政拨款支出决算具体情况说明</w:t>
      </w:r>
      <w:bookmarkEnd w:id="55"/>
    </w:p>
    <w:p>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2023年度“三公”经费财政拨款支出决算中，因公出国（境）费支出决算</w:t>
      </w:r>
      <w:r>
        <w:rPr>
          <w:rFonts w:hint="eastAsia" w:ascii="仿宋_GB2312" w:hAnsi="仿宋_GB2312" w:eastAsia="仿宋_GB2312" w:cs="仿宋_GB2312"/>
          <w:b/>
          <w:sz w:val="32"/>
          <w:szCs w:val="32"/>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b/>
          <w:sz w:val="32"/>
          <w:szCs w:val="32"/>
        </w:rPr>
        <w:t>0</w:t>
      </w:r>
      <w:r>
        <w:rPr>
          <w:rFonts w:hint="eastAsia" w:ascii="仿宋_GB2312" w:hAnsi="仿宋_GB2312" w:eastAsia="仿宋_GB2312" w:cs="仿宋_GB2312"/>
          <w:sz w:val="32"/>
          <w:szCs w:val="32"/>
        </w:rPr>
        <w:t>%；公务用车购置及运行维护费支出决算</w:t>
      </w:r>
      <w:r>
        <w:rPr>
          <w:rFonts w:hint="eastAsia" w:ascii="仿宋_GB2312" w:hAnsi="仿宋_GB2312" w:eastAsia="仿宋_GB2312" w:cs="仿宋_GB2312"/>
          <w:b/>
          <w:sz w:val="32"/>
          <w:szCs w:val="32"/>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b/>
          <w:sz w:val="32"/>
          <w:szCs w:val="32"/>
        </w:rPr>
        <w:t>0</w:t>
      </w:r>
      <w:r>
        <w:rPr>
          <w:rFonts w:hint="eastAsia" w:ascii="仿宋_GB2312" w:hAnsi="仿宋_GB2312" w:eastAsia="仿宋_GB2312" w:cs="仿宋_GB2312"/>
          <w:sz w:val="32"/>
          <w:szCs w:val="32"/>
        </w:rPr>
        <w:t>%；公务接待费支出决算</w:t>
      </w:r>
      <w:r>
        <w:rPr>
          <w:rFonts w:hint="eastAsia" w:ascii="仿宋_GB2312" w:hAnsi="仿宋_GB2312" w:eastAsia="仿宋_GB2312" w:cs="仿宋_GB2312"/>
          <w:b/>
          <w:sz w:val="32"/>
          <w:szCs w:val="32"/>
        </w:rPr>
        <w:t>0.08</w:t>
      </w:r>
      <w:r>
        <w:rPr>
          <w:rFonts w:hint="eastAsia" w:ascii="仿宋_GB2312" w:hAnsi="仿宋_GB2312" w:eastAsia="仿宋_GB2312" w:cs="仿宋_GB2312"/>
          <w:sz w:val="32"/>
          <w:szCs w:val="32"/>
        </w:rPr>
        <w:t>万元，占</w:t>
      </w:r>
      <w:r>
        <w:rPr>
          <w:rFonts w:hint="eastAsia" w:ascii="仿宋_GB2312" w:hAnsi="仿宋_GB2312" w:eastAsia="仿宋_GB2312" w:cs="仿宋_GB2312"/>
          <w:b/>
          <w:sz w:val="32"/>
          <w:szCs w:val="32"/>
        </w:rPr>
        <w:t>100</w:t>
      </w:r>
      <w:r>
        <w:rPr>
          <w:rFonts w:hint="eastAsia" w:ascii="仿宋_GB2312" w:hAnsi="仿宋_GB2312" w:eastAsia="仿宋_GB2312" w:cs="仿宋_GB2312"/>
          <w:sz w:val="32"/>
          <w:szCs w:val="32"/>
        </w:rPr>
        <w:t>%。具体情况如下：</w:t>
      </w:r>
    </w:p>
    <w:p>
      <w:pPr>
        <w:spacing w:line="600" w:lineRule="exact"/>
        <w:jc w:val="center"/>
        <w:rPr>
          <w:rFonts w:hint="eastAsia" w:ascii="仿宋" w:hAnsi="仿宋" w:eastAsia="仿宋"/>
          <w:sz w:val="32"/>
          <w:szCs w:val="32"/>
        </w:rPr>
      </w:pPr>
      <w:r>
        <w:rPr>
          <w:rFonts w:hint="eastAsia" w:ascii="仿宋" w:hAnsi="仿宋" w:eastAsia="仿宋"/>
          <w:sz w:val="32"/>
          <w:szCs w:val="32"/>
        </w:rPr>
        <w:t>图7：“三公”经费财政拨款支出结构</w:t>
      </w:r>
    </w:p>
    <w:p>
      <w:pPr>
        <w:spacing w:line="600" w:lineRule="exact"/>
        <w:ind w:firstLine="640" w:firstLineChars="200"/>
        <w:jc w:val="right"/>
        <w:rPr>
          <w:rFonts w:hint="eastAsia" w:ascii="仿宋_GB2312" w:eastAsia="仿宋_GB2312"/>
          <w:sz w:val="32"/>
          <w:szCs w:val="32"/>
          <w:lang w:val="en-US" w:eastAsia="zh-CN"/>
        </w:rPr>
      </w:pPr>
      <w:r>
        <w:rPr>
          <w:rFonts w:hint="eastAsia" w:ascii="仿宋_GB2312" w:eastAsia="仿宋_GB2312"/>
          <w:sz w:val="32"/>
          <w:szCs w:val="32"/>
          <w:lang w:val="en-US" w:eastAsia="zh-CN"/>
        </w:rPr>
        <w:t>单位：万元</w:t>
      </w:r>
    </w:p>
    <w:p>
      <w:pPr>
        <w:pStyle w:val="2"/>
        <w:rPr>
          <w:rFonts w:hint="eastAsia" w:eastAsia="仿宋_GB2312"/>
          <w:lang w:eastAsia="zh-CN"/>
        </w:rPr>
      </w:pPr>
      <w:r>
        <w:rPr>
          <w:rFonts w:hint="eastAsia" w:eastAsia="仿宋_GB2312"/>
          <w:lang w:eastAsia="zh-CN"/>
        </w:rPr>
        <w:drawing>
          <wp:inline distT="0" distB="0" distL="114300" distR="114300">
            <wp:extent cx="5080000" cy="2434590"/>
            <wp:effectExtent l="4445" t="4445" r="20955" b="18415"/>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0"/>
        <w:rPr>
          <w:rFonts w:hint="eastAsia" w:ascii="仿宋_GB2312" w:hAnsi="仿宋_GB2312" w:eastAsia="仿宋_GB2312" w:cs="仿宋_GB2312"/>
          <w:b/>
          <w:sz w:val="32"/>
          <w:szCs w:val="32"/>
        </w:rPr>
      </w:pPr>
      <w:bookmarkStart w:id="56" w:name="_Toc15396610"/>
      <w:bookmarkStart w:id="57" w:name="_Toc15377218"/>
      <w:r>
        <w:rPr>
          <w:rFonts w:hint="eastAsia" w:ascii="仿宋_GB2312" w:hAnsi="仿宋_GB2312" w:eastAsia="仿宋_GB2312" w:cs="仿宋_GB2312"/>
          <w:b/>
          <w:sz w:val="32"/>
          <w:szCs w:val="32"/>
        </w:rPr>
        <w:t>1.因公出国（境）经费支出0</w:t>
      </w:r>
      <w:r>
        <w:rPr>
          <w:rFonts w:hint="eastAsia" w:ascii="仿宋_GB2312" w:hAnsi="仿宋_GB2312" w:eastAsia="仿宋_GB2312" w:cs="仿宋_GB2312"/>
          <w:sz w:val="32"/>
          <w:szCs w:val="32"/>
        </w:rPr>
        <w:t>万元，</w:t>
      </w:r>
      <w:r>
        <w:rPr>
          <w:rStyle w:val="17"/>
          <w:rFonts w:hint="eastAsia" w:ascii="仿宋_GB2312" w:hAnsi="仿宋_GB2312" w:eastAsia="仿宋_GB2312" w:cs="仿宋_GB2312"/>
          <w:b w:val="0"/>
          <w:bCs/>
          <w:sz w:val="32"/>
          <w:szCs w:val="32"/>
        </w:rPr>
        <w:t>完成预算</w:t>
      </w:r>
      <w:r>
        <w:rPr>
          <w:rStyle w:val="17"/>
          <w:rFonts w:hint="eastAsia" w:ascii="仿宋_GB2312" w:hAnsi="仿宋_GB2312" w:eastAsia="仿宋_GB2312" w:cs="仿宋_GB2312"/>
          <w:bCs/>
          <w:sz w:val="32"/>
          <w:szCs w:val="32"/>
        </w:rPr>
        <w:t>0</w:t>
      </w:r>
      <w:r>
        <w:rPr>
          <w:rStyle w:val="17"/>
          <w:rFonts w:hint="eastAsia" w:ascii="仿宋_GB2312" w:hAnsi="仿宋_GB2312" w:eastAsia="仿宋_GB2312" w:cs="仿宋_GB2312"/>
          <w:b w:val="0"/>
          <w:bCs/>
          <w:sz w:val="32"/>
          <w:szCs w:val="32"/>
        </w:rPr>
        <w:t>%。</w:t>
      </w:r>
      <w:r>
        <w:rPr>
          <w:rFonts w:hint="eastAsia" w:ascii="仿宋_GB2312" w:hAnsi="仿宋_GB2312" w:eastAsia="仿宋_GB2312" w:cs="仿宋_GB2312"/>
          <w:sz w:val="32"/>
          <w:szCs w:val="32"/>
        </w:rPr>
        <w:t>全年安排因公出国（境）团组</w:t>
      </w:r>
      <w:r>
        <w:rPr>
          <w:rFonts w:hint="eastAsia" w:ascii="仿宋_GB2312" w:hAnsi="仿宋_GB2312" w:eastAsia="仿宋_GB2312" w:cs="仿宋_GB2312"/>
          <w:b/>
          <w:sz w:val="32"/>
          <w:szCs w:val="32"/>
        </w:rPr>
        <w:t>0</w:t>
      </w:r>
      <w:r>
        <w:rPr>
          <w:rFonts w:hint="eastAsia" w:ascii="仿宋_GB2312" w:hAnsi="仿宋_GB2312" w:eastAsia="仿宋_GB2312" w:cs="仿宋_GB2312"/>
          <w:sz w:val="32"/>
          <w:szCs w:val="32"/>
        </w:rPr>
        <w:t>次，出国（境）</w:t>
      </w:r>
      <w:r>
        <w:rPr>
          <w:rFonts w:hint="eastAsia" w:ascii="仿宋_GB2312" w:hAnsi="仿宋_GB2312" w:eastAsia="仿宋_GB2312" w:cs="仿宋_GB2312"/>
          <w:b/>
          <w:sz w:val="32"/>
          <w:szCs w:val="32"/>
        </w:rPr>
        <w:t>0</w:t>
      </w:r>
      <w:r>
        <w:rPr>
          <w:rFonts w:hint="eastAsia" w:ascii="仿宋_GB2312" w:hAnsi="仿宋_GB2312" w:eastAsia="仿宋_GB2312" w:cs="仿宋_GB2312"/>
          <w:sz w:val="32"/>
          <w:szCs w:val="32"/>
        </w:rPr>
        <w:t>人。因公出国（境）支出决算比2022年</w:t>
      </w:r>
      <w:r>
        <w:rPr>
          <w:rFonts w:hint="eastAsia" w:ascii="仿宋_GB2312" w:hAnsi="仿宋_GB2312" w:eastAsia="仿宋_GB2312" w:cs="仿宋_GB2312"/>
          <w:sz w:val="32"/>
          <w:szCs w:val="32"/>
          <w:lang w:eastAsia="zh-CN"/>
        </w:rPr>
        <w:t>持平</w:t>
      </w:r>
      <w:r>
        <w:rPr>
          <w:rFonts w:hint="eastAsia" w:ascii="仿宋_GB2312" w:hAnsi="仿宋_GB2312" w:eastAsia="仿宋_GB2312" w:cs="仿宋_GB2312"/>
          <w:sz w:val="32"/>
          <w:szCs w:val="32"/>
        </w:rPr>
        <w:t>。</w:t>
      </w:r>
    </w:p>
    <w:p>
      <w:pPr>
        <w:spacing w:line="600" w:lineRule="exact"/>
        <w:ind w:firstLine="64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2.公务用车购置及运行维护费支出0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Style w:val="17"/>
          <w:rFonts w:hint="eastAsia" w:ascii="仿宋_GB2312" w:hAnsi="仿宋_GB2312" w:eastAsia="仿宋_GB2312" w:cs="仿宋_GB2312"/>
          <w:b w:val="0"/>
          <w:bCs/>
          <w:sz w:val="32"/>
          <w:szCs w:val="32"/>
        </w:rPr>
        <w:t>完成预算</w:t>
      </w:r>
      <w:r>
        <w:rPr>
          <w:rStyle w:val="17"/>
          <w:rFonts w:hint="eastAsia" w:ascii="仿宋_GB2312" w:hAnsi="仿宋_GB2312" w:eastAsia="仿宋_GB2312" w:cs="仿宋_GB2312"/>
          <w:bCs/>
          <w:sz w:val="32"/>
          <w:szCs w:val="32"/>
        </w:rPr>
        <w:t>0</w:t>
      </w:r>
      <w:r>
        <w:rPr>
          <w:rStyle w:val="17"/>
          <w:rFonts w:hint="eastAsia" w:ascii="仿宋_GB2312" w:hAnsi="仿宋_GB2312" w:eastAsia="仿宋_GB2312" w:cs="仿宋_GB2312"/>
          <w:b w:val="0"/>
          <w:bCs/>
          <w:sz w:val="32"/>
          <w:szCs w:val="32"/>
        </w:rPr>
        <w:t>%。</w:t>
      </w:r>
      <w:r>
        <w:rPr>
          <w:rFonts w:hint="eastAsia" w:ascii="仿宋_GB2312" w:hAnsi="仿宋_GB2312" w:eastAsia="仿宋_GB2312" w:cs="仿宋_GB2312"/>
          <w:sz w:val="32"/>
          <w:szCs w:val="32"/>
        </w:rPr>
        <w:t>公务用车购置及运行维护费支出决算比2022年度</w:t>
      </w:r>
      <w:r>
        <w:rPr>
          <w:rFonts w:hint="eastAsia" w:ascii="仿宋_GB2312" w:hAnsi="仿宋_GB2312" w:eastAsia="仿宋_GB2312" w:cs="仿宋_GB2312"/>
          <w:sz w:val="32"/>
          <w:szCs w:val="32"/>
          <w:lang w:eastAsia="zh-CN"/>
        </w:rPr>
        <w:t>持平</w:t>
      </w:r>
      <w:r>
        <w:rPr>
          <w:rFonts w:hint="eastAsia" w:ascii="仿宋_GB2312" w:hAnsi="仿宋_GB2312" w:eastAsia="仿宋_GB2312" w:cs="仿宋_GB2312"/>
          <w:sz w:val="32"/>
          <w:szCs w:val="32"/>
        </w:rPr>
        <w:t>。</w:t>
      </w:r>
    </w:p>
    <w:p>
      <w:pPr>
        <w:spacing w:line="600" w:lineRule="exact"/>
        <w:ind w:firstLine="640" w:firstLineChars="200"/>
        <w:rPr>
          <w:rFonts w:hint="eastAsia" w:ascii="仿宋_GB2312" w:hAnsi="仿宋_GB2312" w:eastAsia="仿宋_GB2312" w:cs="仿宋_GB2312"/>
          <w:b/>
          <w:sz w:val="32"/>
          <w:szCs w:val="32"/>
        </w:rPr>
      </w:pPr>
      <w:r>
        <w:rPr>
          <w:rFonts w:hint="eastAsia" w:ascii="仿宋_GB2312" w:hAnsi="仿宋_GB2312" w:eastAsia="仿宋_GB2312" w:cs="仿宋_GB2312"/>
          <w:sz w:val="32"/>
          <w:szCs w:val="32"/>
        </w:rPr>
        <w:t>其中：</w:t>
      </w:r>
      <w:r>
        <w:rPr>
          <w:rFonts w:hint="eastAsia" w:ascii="仿宋_GB2312" w:hAnsi="仿宋_GB2312" w:eastAsia="仿宋_GB2312" w:cs="仿宋_GB2312"/>
          <w:b/>
          <w:sz w:val="32"/>
          <w:szCs w:val="32"/>
        </w:rPr>
        <w:t>公务用车购置支出0</w:t>
      </w:r>
      <w:r>
        <w:rPr>
          <w:rFonts w:hint="eastAsia" w:ascii="仿宋_GB2312" w:hAnsi="仿宋_GB2312" w:eastAsia="仿宋_GB2312" w:cs="仿宋_GB2312"/>
          <w:sz w:val="32"/>
          <w:szCs w:val="32"/>
        </w:rPr>
        <w:t>万元。全年按规定更新购置公务用车</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辆。截至2023年12月31日，单位共有公务用车</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w:t>
      </w:r>
    </w:p>
    <w:p>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公务用车运行维护费支出0</w:t>
      </w:r>
      <w:r>
        <w:rPr>
          <w:rFonts w:hint="eastAsia" w:ascii="仿宋_GB2312" w:hAnsi="仿宋_GB2312" w:eastAsia="仿宋_GB2312" w:cs="仿宋_GB2312"/>
          <w:sz w:val="32"/>
          <w:szCs w:val="32"/>
        </w:rPr>
        <w:t>万元。</w:t>
      </w:r>
    </w:p>
    <w:p>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3.公务接待费支出0.08</w:t>
      </w:r>
      <w:r>
        <w:rPr>
          <w:rFonts w:hint="eastAsia" w:ascii="仿宋_GB2312" w:hAnsi="仿宋_GB2312" w:eastAsia="仿宋_GB2312" w:cs="仿宋_GB2312"/>
          <w:sz w:val="32"/>
          <w:szCs w:val="32"/>
        </w:rPr>
        <w:t>万元，</w:t>
      </w:r>
      <w:r>
        <w:rPr>
          <w:rStyle w:val="17"/>
          <w:rFonts w:hint="eastAsia" w:ascii="仿宋_GB2312" w:hAnsi="仿宋_GB2312" w:eastAsia="仿宋_GB2312" w:cs="仿宋_GB2312"/>
          <w:b w:val="0"/>
          <w:bCs/>
          <w:sz w:val="32"/>
          <w:szCs w:val="32"/>
        </w:rPr>
        <w:t>完成预算24.21%。</w:t>
      </w:r>
      <w:r>
        <w:rPr>
          <w:rFonts w:hint="eastAsia" w:ascii="仿宋_GB2312" w:hAnsi="仿宋_GB2312" w:eastAsia="仿宋_GB2312" w:cs="仿宋_GB2312"/>
          <w:sz w:val="32"/>
          <w:szCs w:val="32"/>
        </w:rPr>
        <w:t>公务接待费支出决算比2022年度增加</w:t>
      </w:r>
      <w:r>
        <w:rPr>
          <w:rFonts w:hint="eastAsia" w:ascii="仿宋_GB2312" w:hAnsi="仿宋_GB2312" w:eastAsia="仿宋_GB2312" w:cs="仿宋_GB2312"/>
          <w:sz w:val="32"/>
          <w:szCs w:val="32"/>
          <w:lang w:val="en-US" w:eastAsia="zh-CN"/>
        </w:rPr>
        <w:t>0.08</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val="en-US" w:eastAsia="zh-CN"/>
        </w:rPr>
        <w:t>2022年因疫情原因无来广人员</w:t>
      </w:r>
      <w:r>
        <w:rPr>
          <w:rFonts w:hint="eastAsia" w:ascii="仿宋_GB2312" w:hAnsi="仿宋_GB2312" w:eastAsia="仿宋_GB2312" w:cs="仿宋_GB2312"/>
          <w:sz w:val="32"/>
          <w:szCs w:val="32"/>
        </w:rPr>
        <w:t>。其中：</w:t>
      </w:r>
    </w:p>
    <w:p>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国内公务接待支出0.08</w:t>
      </w:r>
      <w:r>
        <w:rPr>
          <w:rFonts w:hint="eastAsia" w:ascii="仿宋_GB2312" w:hAnsi="仿宋_GB2312" w:eastAsia="仿宋_GB2312" w:cs="仿宋_GB2312"/>
          <w:sz w:val="32"/>
          <w:szCs w:val="32"/>
        </w:rPr>
        <w:t>万元，主要用于执行公务、开展业务活动开支的用餐费等。国内公务接待</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批次，</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人次（不包括陪同人员），共计支出</w:t>
      </w:r>
      <w:r>
        <w:rPr>
          <w:rFonts w:hint="eastAsia" w:ascii="仿宋_GB2312" w:hAnsi="仿宋_GB2312" w:eastAsia="仿宋_GB2312" w:cs="仿宋_GB2312"/>
          <w:sz w:val="32"/>
          <w:szCs w:val="32"/>
          <w:lang w:val="en-US" w:eastAsia="zh-CN"/>
        </w:rPr>
        <w:t>0.08</w:t>
      </w:r>
      <w:r>
        <w:rPr>
          <w:rFonts w:hint="eastAsia" w:ascii="仿宋_GB2312" w:hAnsi="仿宋_GB2312" w:eastAsia="仿宋_GB2312" w:cs="仿宋_GB2312"/>
          <w:sz w:val="32"/>
          <w:szCs w:val="32"/>
        </w:rPr>
        <w:t>万元，具体内容包括：</w:t>
      </w:r>
      <w:r>
        <w:rPr>
          <w:rFonts w:hint="eastAsia" w:ascii="仿宋_GB2312" w:hAnsi="仿宋_GB2312" w:eastAsia="仿宋_GB2312" w:cs="仿宋_GB2312"/>
          <w:sz w:val="32"/>
          <w:szCs w:val="32"/>
          <w:lang w:eastAsia="zh-CN"/>
        </w:rPr>
        <w:t>上级调研用</w:t>
      </w:r>
      <w:r>
        <w:rPr>
          <w:rFonts w:hint="eastAsia" w:ascii="仿宋_GB2312" w:hAnsi="仿宋_GB2312" w:eastAsia="仿宋_GB2312" w:cs="仿宋_GB2312"/>
          <w:sz w:val="32"/>
          <w:szCs w:val="32"/>
        </w:rPr>
        <w:t>餐费</w:t>
      </w:r>
      <w:r>
        <w:rPr>
          <w:rFonts w:hint="eastAsia" w:ascii="仿宋_GB2312" w:hAnsi="仿宋_GB2312" w:eastAsia="仿宋_GB2312" w:cs="仿宋_GB2312"/>
          <w:sz w:val="32"/>
          <w:szCs w:val="32"/>
          <w:lang w:val="en-US" w:eastAsia="zh-CN"/>
        </w:rPr>
        <w:t>0.08万元</w:t>
      </w:r>
      <w:r>
        <w:rPr>
          <w:rFonts w:hint="eastAsia" w:ascii="仿宋_GB2312" w:hAnsi="仿宋_GB2312" w:eastAsia="仿宋_GB2312" w:cs="仿宋_GB2312"/>
          <w:sz w:val="32"/>
          <w:szCs w:val="32"/>
        </w:rPr>
        <w:t>。</w:t>
      </w:r>
    </w:p>
    <w:p>
      <w:pPr>
        <w:spacing w:line="600" w:lineRule="exact"/>
        <w:ind w:firstLine="642"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外事接待支出0</w:t>
      </w:r>
      <w:r>
        <w:rPr>
          <w:rFonts w:hint="eastAsia" w:ascii="仿宋_GB2312" w:hAnsi="仿宋_GB2312" w:eastAsia="仿宋_GB2312" w:cs="仿宋_GB2312"/>
          <w:sz w:val="32"/>
          <w:szCs w:val="32"/>
        </w:rPr>
        <w:t>万元。</w:t>
      </w:r>
    </w:p>
    <w:p>
      <w:pPr>
        <w:spacing w:line="600" w:lineRule="exact"/>
        <w:ind w:firstLine="640"/>
        <w:outlineLvl w:val="1"/>
        <w:rPr>
          <w:rStyle w:val="29"/>
          <w:rFonts w:hint="eastAsia" w:ascii="黑体" w:hAnsi="黑体" w:eastAsia="黑体"/>
        </w:rPr>
      </w:pPr>
      <w:bookmarkStart w:id="58" w:name="_Toc4903"/>
      <w:r>
        <w:rPr>
          <w:rStyle w:val="29"/>
          <w:rFonts w:hint="eastAsia" w:ascii="黑体" w:hAnsi="黑体" w:eastAsia="黑体"/>
        </w:rPr>
        <w:t>八、政府性基金预算支出决算情况说明</w:t>
      </w:r>
      <w:bookmarkEnd w:id="56"/>
      <w:bookmarkEnd w:id="57"/>
      <w:bookmarkEnd w:id="58"/>
    </w:p>
    <w:p>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2023年度政府性基金预算财政拨款支出</w:t>
      </w:r>
      <w:r>
        <w:rPr>
          <w:rFonts w:hint="eastAsia" w:ascii="仿宋_GB2312" w:hAnsi="仿宋_GB2312" w:eastAsia="仿宋_GB2312" w:cs="仿宋_GB2312"/>
          <w:b/>
          <w:sz w:val="32"/>
          <w:szCs w:val="32"/>
        </w:rPr>
        <w:t>0</w:t>
      </w:r>
      <w:r>
        <w:rPr>
          <w:rFonts w:hint="eastAsia" w:ascii="仿宋_GB2312" w:hAnsi="仿宋_GB2312" w:eastAsia="仿宋_GB2312" w:cs="仿宋_GB2312"/>
          <w:sz w:val="32"/>
          <w:szCs w:val="32"/>
        </w:rPr>
        <w:t>万元。</w:t>
      </w:r>
    </w:p>
    <w:p>
      <w:pPr>
        <w:numPr>
          <w:ilvl w:val="0"/>
          <w:numId w:val="3"/>
        </w:numPr>
        <w:spacing w:line="600" w:lineRule="exact"/>
        <w:ind w:firstLine="640"/>
        <w:outlineLvl w:val="1"/>
        <w:rPr>
          <w:rStyle w:val="29"/>
          <w:rFonts w:hint="eastAsia" w:ascii="黑体" w:hAnsi="黑体" w:eastAsia="黑体" w:cs="黑体"/>
          <w:b/>
          <w:bCs w:val="0"/>
        </w:rPr>
      </w:pPr>
      <w:bookmarkStart w:id="59" w:name="_Toc15396611"/>
      <w:bookmarkStart w:id="60" w:name="_Toc15377219"/>
      <w:bookmarkStart w:id="61" w:name="_Toc4967"/>
      <w:r>
        <w:rPr>
          <w:rStyle w:val="29"/>
          <w:rFonts w:hint="eastAsia" w:ascii="黑体" w:hAnsi="黑体" w:eastAsia="黑体" w:cs="黑体"/>
          <w:b/>
          <w:bCs w:val="0"/>
        </w:rPr>
        <w:t>国有资本经营预算支出决算情况说明</w:t>
      </w:r>
      <w:bookmarkEnd w:id="59"/>
      <w:bookmarkEnd w:id="60"/>
      <w:bookmarkEnd w:id="61"/>
    </w:p>
    <w:p>
      <w:pPr>
        <w:spacing w:line="600" w:lineRule="exact"/>
        <w:ind w:firstLine="640"/>
        <w:rPr>
          <w:rFonts w:hint="eastAsia" w:ascii="仿宋_GB2312" w:hAnsi="仿宋_GB2312" w:eastAsia="仿宋_GB2312" w:cs="仿宋_GB2312"/>
          <w:sz w:val="44"/>
          <w:szCs w:val="44"/>
        </w:rPr>
      </w:pPr>
      <w:r>
        <w:rPr>
          <w:rFonts w:hint="eastAsia" w:ascii="仿宋_GB2312" w:hAnsi="仿宋_GB2312" w:eastAsia="仿宋_GB2312" w:cs="仿宋_GB2312"/>
          <w:sz w:val="32"/>
          <w:szCs w:val="32"/>
        </w:rPr>
        <w:t>2023年度国有资本经营预算财政拨款支出</w:t>
      </w:r>
      <w:r>
        <w:rPr>
          <w:rFonts w:hint="eastAsia" w:ascii="仿宋_GB2312" w:hAnsi="仿宋_GB2312" w:eastAsia="仿宋_GB2312" w:cs="仿宋_GB2312"/>
          <w:b/>
          <w:sz w:val="32"/>
          <w:szCs w:val="32"/>
        </w:rPr>
        <w:t>0</w:t>
      </w:r>
      <w:r>
        <w:rPr>
          <w:rFonts w:hint="eastAsia" w:ascii="仿宋_GB2312" w:hAnsi="仿宋_GB2312" w:eastAsia="仿宋_GB2312" w:cs="仿宋_GB2312"/>
          <w:sz w:val="32"/>
          <w:szCs w:val="32"/>
        </w:rPr>
        <w:t>万元。</w:t>
      </w:r>
    </w:p>
    <w:p>
      <w:pPr>
        <w:numPr>
          <w:ilvl w:val="0"/>
          <w:numId w:val="3"/>
        </w:numPr>
        <w:spacing w:line="600" w:lineRule="exact"/>
        <w:ind w:firstLine="640"/>
        <w:outlineLvl w:val="1"/>
        <w:rPr>
          <w:rStyle w:val="29"/>
          <w:rFonts w:hint="eastAsia" w:ascii="黑体" w:hAnsi="黑体" w:eastAsia="黑体" w:cs="黑体"/>
          <w:b w:val="0"/>
        </w:rPr>
      </w:pPr>
      <w:bookmarkStart w:id="62" w:name="_Toc15377221"/>
      <w:bookmarkStart w:id="63" w:name="_Toc15396612"/>
      <w:bookmarkStart w:id="64" w:name="_Toc30115"/>
      <w:r>
        <w:rPr>
          <w:rStyle w:val="29"/>
          <w:rFonts w:hint="eastAsia" w:ascii="黑体" w:hAnsi="黑体" w:eastAsia="黑体" w:cs="黑体"/>
          <w:b w:val="0"/>
        </w:rPr>
        <w:t>其他重要事项的情况说明</w:t>
      </w:r>
      <w:bookmarkEnd w:id="62"/>
      <w:bookmarkEnd w:id="63"/>
      <w:bookmarkEnd w:id="64"/>
    </w:p>
    <w:p>
      <w:pPr>
        <w:spacing w:line="600" w:lineRule="exact"/>
        <w:ind w:firstLine="642" w:firstLineChars="200"/>
        <w:outlineLvl w:val="2"/>
        <w:rPr>
          <w:rFonts w:hint="eastAsia" w:ascii="仿宋_GB2312" w:hAnsi="仿宋_GB2312" w:eastAsia="仿宋_GB2312" w:cs="仿宋_GB2312"/>
          <w:sz w:val="32"/>
          <w:szCs w:val="32"/>
        </w:rPr>
      </w:pPr>
      <w:bookmarkStart w:id="65" w:name="_Toc15377222"/>
      <w:r>
        <w:rPr>
          <w:rFonts w:hint="eastAsia" w:ascii="仿宋_GB2312" w:hAnsi="仿宋_GB2312" w:eastAsia="仿宋_GB2312" w:cs="仿宋_GB2312"/>
          <w:b/>
          <w:sz w:val="32"/>
          <w:szCs w:val="32"/>
        </w:rPr>
        <w:t>（一）机关运行经费支出情况</w:t>
      </w:r>
      <w:bookmarkEnd w:id="65"/>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2023年度，</w:t>
      </w:r>
      <w:r>
        <w:rPr>
          <w:rFonts w:hint="eastAsia" w:ascii="仿宋_GB2312" w:hAnsi="仿宋_GB2312" w:eastAsia="仿宋_GB2312" w:cs="仿宋_GB2312"/>
          <w:b/>
          <w:sz w:val="32"/>
          <w:szCs w:val="32"/>
        </w:rPr>
        <w:t>广元市交通技工学校</w:t>
      </w:r>
      <w:r>
        <w:rPr>
          <w:rFonts w:hint="eastAsia" w:ascii="仿宋_GB2312" w:hAnsi="仿宋_GB2312" w:eastAsia="仿宋_GB2312" w:cs="仿宋_GB2312"/>
          <w:sz w:val="32"/>
          <w:szCs w:val="32"/>
        </w:rPr>
        <w:t>机关运行经费支出</w:t>
      </w:r>
      <w:r>
        <w:rPr>
          <w:rFonts w:hint="eastAsia" w:ascii="仿宋_GB2312" w:hAnsi="仿宋_GB2312" w:eastAsia="仿宋_GB2312" w:cs="仿宋_GB2312"/>
          <w:b/>
          <w:sz w:val="32"/>
          <w:szCs w:val="32"/>
        </w:rPr>
        <w:t>0</w:t>
      </w:r>
      <w:r>
        <w:rPr>
          <w:rFonts w:hint="eastAsia" w:ascii="仿宋_GB2312" w:hAnsi="仿宋_GB2312" w:eastAsia="仿宋_GB2312" w:cs="仿宋_GB2312"/>
          <w:sz w:val="32"/>
          <w:szCs w:val="32"/>
        </w:rPr>
        <w:t>万元，比2022年度</w:t>
      </w:r>
      <w:r>
        <w:rPr>
          <w:rFonts w:hint="eastAsia" w:ascii="仿宋_GB2312" w:hAnsi="仿宋_GB2312" w:eastAsia="仿宋_GB2312" w:cs="仿宋_GB2312"/>
          <w:sz w:val="32"/>
          <w:szCs w:val="32"/>
          <w:lang w:eastAsia="zh-CN"/>
        </w:rPr>
        <w:t>决算数持平</w:t>
      </w:r>
      <w:r>
        <w:rPr>
          <w:rFonts w:hint="eastAsia" w:ascii="仿宋_GB2312" w:hAnsi="仿宋_GB2312" w:eastAsia="仿宋_GB2312" w:cs="仿宋_GB2312"/>
          <w:sz w:val="32"/>
          <w:szCs w:val="32"/>
        </w:rPr>
        <w:t>。</w:t>
      </w:r>
      <w:r>
        <w:rPr>
          <w:rFonts w:hint="eastAsia" w:ascii="仿宋_GB2312" w:hAnsi="仿宋_GB2312" w:eastAsia="仿宋_GB2312" w:cs="仿宋_GB2312"/>
          <w:sz w:val="32"/>
        </w:rPr>
        <w:t>主要原因是本单位属于其他事业单位，不产生机关运行经费。</w:t>
      </w:r>
    </w:p>
    <w:p>
      <w:pPr>
        <w:autoSpaceDE w:val="0"/>
        <w:autoSpaceDN w:val="0"/>
        <w:adjustRightInd w:val="0"/>
        <w:spacing w:line="600" w:lineRule="exact"/>
        <w:ind w:firstLine="642" w:firstLineChars="200"/>
        <w:jc w:val="left"/>
        <w:outlineLvl w:val="2"/>
        <w:rPr>
          <w:rFonts w:hint="eastAsia" w:ascii="仿宋_GB2312" w:hAnsi="仿宋_GB2312" w:eastAsia="仿宋_GB2312" w:cs="仿宋_GB2312"/>
          <w:b/>
          <w:sz w:val="32"/>
          <w:szCs w:val="32"/>
        </w:rPr>
      </w:pPr>
      <w:bookmarkStart w:id="66" w:name="_Toc15377223"/>
      <w:r>
        <w:rPr>
          <w:rFonts w:hint="eastAsia" w:ascii="仿宋_GB2312" w:hAnsi="仿宋_GB2312" w:eastAsia="仿宋_GB2312" w:cs="仿宋_GB2312"/>
          <w:b/>
          <w:sz w:val="32"/>
          <w:szCs w:val="32"/>
        </w:rPr>
        <w:t>（二）政府采购支出情况</w:t>
      </w:r>
      <w:bookmarkEnd w:id="66"/>
    </w:p>
    <w:p>
      <w:pPr>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2023年度，</w:t>
      </w:r>
      <w:r>
        <w:rPr>
          <w:rFonts w:hint="eastAsia" w:ascii="仿宋_GB2312" w:hAnsi="仿宋_GB2312" w:eastAsia="仿宋_GB2312" w:cs="仿宋_GB2312"/>
          <w:b/>
          <w:sz w:val="32"/>
          <w:szCs w:val="32"/>
        </w:rPr>
        <w:t>广元市交通技工学校</w:t>
      </w:r>
      <w:r>
        <w:rPr>
          <w:rFonts w:hint="eastAsia" w:ascii="仿宋_GB2312" w:hAnsi="仿宋_GB2312" w:eastAsia="仿宋_GB2312" w:cs="仿宋_GB2312"/>
          <w:sz w:val="32"/>
          <w:szCs w:val="32"/>
        </w:rPr>
        <w:t>政府采购支出总额</w:t>
      </w:r>
      <w:r>
        <w:rPr>
          <w:rFonts w:hint="eastAsia" w:ascii="仿宋_GB2312" w:hAnsi="仿宋_GB2312" w:eastAsia="仿宋_GB2312" w:cs="仿宋_GB2312"/>
          <w:b/>
          <w:sz w:val="32"/>
          <w:szCs w:val="32"/>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p>
    <w:p>
      <w:pPr>
        <w:autoSpaceDE w:val="0"/>
        <w:autoSpaceDN w:val="0"/>
        <w:adjustRightInd w:val="0"/>
        <w:spacing w:line="600" w:lineRule="exact"/>
        <w:ind w:firstLine="642" w:firstLineChars="200"/>
        <w:jc w:val="left"/>
        <w:outlineLvl w:val="2"/>
        <w:rPr>
          <w:rFonts w:hint="eastAsia" w:ascii="仿宋_GB2312" w:hAnsi="仿宋_GB2312" w:eastAsia="仿宋_GB2312" w:cs="仿宋_GB2312"/>
          <w:b/>
          <w:sz w:val="32"/>
          <w:szCs w:val="32"/>
        </w:rPr>
      </w:pPr>
      <w:bookmarkStart w:id="67" w:name="_Toc15377224"/>
      <w:r>
        <w:rPr>
          <w:rFonts w:hint="eastAsia" w:ascii="仿宋_GB2312" w:hAnsi="仿宋_GB2312" w:eastAsia="仿宋_GB2312" w:cs="仿宋_GB2312"/>
          <w:b/>
          <w:sz w:val="32"/>
          <w:szCs w:val="32"/>
        </w:rPr>
        <w:t>（三）国有资产占有使用情况</w:t>
      </w:r>
      <w:bookmarkEnd w:id="67"/>
    </w:p>
    <w:p>
      <w:pPr>
        <w:autoSpaceDE w:val="0"/>
        <w:autoSpaceDN w:val="0"/>
        <w:adjustRightInd w:val="0"/>
        <w:spacing w:line="60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截至2023年12月31日，</w:t>
      </w:r>
      <w:r>
        <w:rPr>
          <w:rFonts w:hint="eastAsia" w:ascii="仿宋_GB2312" w:hAnsi="仿宋_GB2312" w:eastAsia="仿宋_GB2312" w:cs="仿宋_GB2312"/>
          <w:b/>
          <w:sz w:val="32"/>
          <w:szCs w:val="32"/>
        </w:rPr>
        <w:t>广元市交通技工学校</w:t>
      </w:r>
      <w:r>
        <w:rPr>
          <w:rFonts w:hint="eastAsia" w:ascii="仿宋_GB2312" w:hAnsi="仿宋_GB2312" w:eastAsia="仿宋_GB2312" w:cs="仿宋_GB2312"/>
          <w:sz w:val="32"/>
          <w:szCs w:val="32"/>
        </w:rPr>
        <w:t>共有车辆</w:t>
      </w:r>
      <w:r>
        <w:rPr>
          <w:rFonts w:hint="eastAsia" w:ascii="仿宋_GB2312" w:hAnsi="仿宋_GB2312" w:eastAsia="仿宋_GB2312" w:cs="仿宋_GB2312"/>
          <w:b/>
          <w:sz w:val="32"/>
          <w:szCs w:val="32"/>
        </w:rPr>
        <w:t>52</w:t>
      </w:r>
      <w:r>
        <w:rPr>
          <w:rFonts w:hint="eastAsia" w:ascii="仿宋_GB2312" w:hAnsi="仿宋_GB2312" w:eastAsia="仿宋_GB2312" w:cs="仿宋_GB2312"/>
          <w:sz w:val="32"/>
          <w:szCs w:val="32"/>
        </w:rPr>
        <w:t>辆，其中：其他用车</w:t>
      </w:r>
      <w:r>
        <w:rPr>
          <w:rFonts w:hint="eastAsia" w:ascii="仿宋_GB2312" w:hAnsi="仿宋_GB2312" w:eastAsia="仿宋_GB2312" w:cs="仿宋_GB2312"/>
          <w:sz w:val="32"/>
          <w:szCs w:val="32"/>
          <w:lang w:val="en-US" w:eastAsia="zh-CN"/>
        </w:rPr>
        <w:t>52</w:t>
      </w:r>
      <w:r>
        <w:rPr>
          <w:rFonts w:hint="eastAsia" w:ascii="仿宋_GB2312" w:hAnsi="仿宋_GB2312" w:eastAsia="仿宋_GB2312" w:cs="仿宋_GB2312"/>
          <w:sz w:val="32"/>
          <w:szCs w:val="32"/>
        </w:rPr>
        <w:t>辆，</w:t>
      </w:r>
      <w:r>
        <w:rPr>
          <w:rFonts w:hint="eastAsia" w:ascii="仿宋_GB2312" w:hAnsi="仿宋_GB2312" w:eastAsia="仿宋_GB2312" w:cs="仿宋_GB2312"/>
          <w:sz w:val="32"/>
        </w:rPr>
        <w:t>其他用车主要是用于驾驶员培训教学、学员接送等5</w:t>
      </w:r>
      <w:r>
        <w:rPr>
          <w:rFonts w:hint="eastAsia" w:ascii="仿宋_GB2312" w:hAnsi="仿宋_GB2312" w:eastAsia="仿宋_GB2312" w:cs="仿宋_GB2312"/>
          <w:sz w:val="32"/>
          <w:lang w:val="en-US" w:eastAsia="zh-CN"/>
        </w:rPr>
        <w:t>2</w:t>
      </w:r>
      <w:r>
        <w:rPr>
          <w:rFonts w:hint="eastAsia" w:ascii="仿宋_GB2312" w:hAnsi="仿宋_GB2312" w:eastAsia="仿宋_GB2312" w:cs="仿宋_GB2312"/>
          <w:sz w:val="32"/>
        </w:rPr>
        <w:t>辆。</w:t>
      </w:r>
      <w:r>
        <w:rPr>
          <w:rFonts w:hint="eastAsia" w:ascii="仿宋_GB2312" w:hAnsi="仿宋_GB2312" w:eastAsia="仿宋_GB2312" w:cs="仿宋_GB2312"/>
          <w:sz w:val="32"/>
          <w:szCs w:val="32"/>
        </w:rPr>
        <w:t>单价100万元以上设备（不含车辆）</w:t>
      </w:r>
      <w:r>
        <w:rPr>
          <w:rFonts w:hint="eastAsia" w:ascii="仿宋_GB2312" w:hAnsi="仿宋_GB2312" w:eastAsia="仿宋_GB2312" w:cs="仿宋_GB2312"/>
          <w:b/>
          <w:sz w:val="32"/>
          <w:szCs w:val="32"/>
        </w:rPr>
        <w:t>0</w:t>
      </w:r>
      <w:r>
        <w:rPr>
          <w:rFonts w:hint="eastAsia" w:ascii="仿宋_GB2312" w:hAnsi="仿宋_GB2312" w:eastAsia="仿宋_GB2312" w:cs="仿宋_GB2312"/>
          <w:sz w:val="32"/>
          <w:szCs w:val="32"/>
        </w:rPr>
        <w:t>台（套）。</w:t>
      </w:r>
    </w:p>
    <w:p>
      <w:pPr>
        <w:autoSpaceDE w:val="0"/>
        <w:autoSpaceDN w:val="0"/>
        <w:adjustRightInd w:val="0"/>
        <w:spacing w:line="600" w:lineRule="exact"/>
        <w:ind w:firstLine="642" w:firstLineChars="200"/>
        <w:jc w:val="left"/>
        <w:outlineLvl w:val="2"/>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（四）预算绩效管理情况</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根据预算绩效管理要求，本单位在2023年度预算编制阶段，组织对开展学员技能培训工作经费</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lang w:val="en-US" w:eastAsia="zh-CN"/>
        </w:rPr>
        <w:t>5个</w:t>
      </w:r>
      <w:r>
        <w:rPr>
          <w:rFonts w:hint="eastAsia" w:ascii="仿宋_GB2312" w:hAnsi="仿宋_GB2312" w:eastAsia="仿宋_GB2312" w:cs="仿宋_GB2312"/>
          <w:sz w:val="32"/>
          <w:szCs w:val="32"/>
        </w:rPr>
        <w:t>项目开展了预算事前绩效评估，对</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个项目编制了绩效目标，预算执行过程中，选取</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个项目开展绩效监控，组织对</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个项目开展绩效自评，绩效自评表详见第四部分附件。</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br w:type="page"/>
      </w:r>
    </w:p>
    <w:p>
      <w:pPr>
        <w:numPr>
          <w:ilvl w:val="0"/>
          <w:numId w:val="4"/>
        </w:numPr>
        <w:spacing w:line="600" w:lineRule="exact"/>
        <w:ind w:firstLine="660" w:firstLineChars="150"/>
        <w:jc w:val="center"/>
        <w:outlineLvl w:val="0"/>
        <w:rPr>
          <w:rStyle w:val="28"/>
          <w:rFonts w:ascii="黑体" w:hAnsi="黑体" w:eastAsia="黑体"/>
          <w:b w:val="0"/>
        </w:rPr>
      </w:pPr>
      <w:bookmarkStart w:id="68" w:name="_Toc15396613"/>
      <w:bookmarkStart w:id="69" w:name="_Toc15377225"/>
      <w:bookmarkStart w:id="70" w:name="_Toc12972"/>
      <w:r>
        <w:rPr>
          <w:rFonts w:hint="eastAsia" w:ascii="黑体" w:hAnsi="黑体" w:eastAsia="黑体"/>
          <w:sz w:val="44"/>
          <w:szCs w:val="44"/>
        </w:rPr>
        <w:t>名</w:t>
      </w:r>
      <w:r>
        <w:rPr>
          <w:rStyle w:val="28"/>
          <w:rFonts w:hint="eastAsia" w:ascii="黑体" w:hAnsi="黑体" w:eastAsia="黑体"/>
          <w:b w:val="0"/>
        </w:rPr>
        <w:t>词解释</w:t>
      </w:r>
      <w:bookmarkEnd w:id="68"/>
      <w:bookmarkEnd w:id="69"/>
      <w:bookmarkEnd w:id="70"/>
    </w:p>
    <w:p>
      <w:pPr>
        <w:keepNext w:val="0"/>
        <w:keepLines w:val="0"/>
        <w:pageBreakBefore w:val="0"/>
        <w:kinsoku/>
        <w:wordWrap/>
        <w:overflowPunct/>
        <w:topLinePunct w:val="0"/>
        <w:bidi w:val="0"/>
        <w:snapToGrid/>
        <w:spacing w:line="600" w:lineRule="exact"/>
        <w:jc w:val="left"/>
        <w:textAlignment w:val="auto"/>
        <w:rPr>
          <w:rFonts w:ascii="宋体"/>
          <w:b/>
          <w:sz w:val="44"/>
          <w:szCs w:val="44"/>
        </w:rPr>
      </w:pPr>
    </w:p>
    <w:p>
      <w:pPr>
        <w:pStyle w:val="26"/>
        <w:keepNext w:val="0"/>
        <w:keepLines w:val="0"/>
        <w:pageBreakBefore w:val="0"/>
        <w:kinsoku/>
        <w:wordWrap/>
        <w:overflowPunct/>
        <w:topLinePunct w:val="0"/>
        <w:bidi w:val="0"/>
        <w:snapToGrid/>
        <w:spacing w:line="600" w:lineRule="exact"/>
        <w:ind w:firstLine="640" w:firstLineChars="200"/>
        <w:textAlignment w:val="auto"/>
        <w:outlineLvl w:val="1"/>
        <w:rPr>
          <w:rFonts w:hint="eastAsia" w:ascii="仿宋_GB2312" w:hAnsi="仿宋_GB2312" w:eastAsia="仿宋_GB2312" w:cs="仿宋_GB2312"/>
          <w:color w:val="auto"/>
          <w:sz w:val="32"/>
          <w:szCs w:val="32"/>
        </w:rPr>
      </w:pPr>
      <w:bookmarkStart w:id="71" w:name="_Toc27206"/>
      <w:bookmarkStart w:id="72" w:name="_Toc15377226"/>
      <w:r>
        <w:rPr>
          <w:rFonts w:hint="eastAsia" w:ascii="仿宋_GB2312" w:hAnsi="仿宋_GB2312" w:eastAsia="仿宋_GB2312" w:cs="仿宋_GB2312"/>
          <w:color w:val="auto"/>
          <w:sz w:val="32"/>
          <w:szCs w:val="32"/>
        </w:rPr>
        <w:t>1.财政拨款收入：指单位从同级财政部门取得的财政预算资金。</w:t>
      </w:r>
      <w:bookmarkEnd w:id="71"/>
    </w:p>
    <w:p>
      <w:pPr>
        <w:pStyle w:val="26"/>
        <w:keepNext w:val="0"/>
        <w:keepLines w:val="0"/>
        <w:pageBreakBefore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.年初结转和结余：指以前年度尚未完成、结转到本年按有关规定继续使用的资金。</w:t>
      </w:r>
    </w:p>
    <w:p>
      <w:pPr>
        <w:pStyle w:val="26"/>
        <w:keepNext w:val="0"/>
        <w:keepLines w:val="0"/>
        <w:pageBreakBefore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.年末结转和结余：指单位按有关规定结转到下年或以后年度继续使用的资金。</w:t>
      </w:r>
    </w:p>
    <w:p>
      <w:pPr>
        <w:keepNext w:val="0"/>
        <w:keepLines w:val="0"/>
        <w:pageBreakBefore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lang w:val="en-US" w:eastAsia="zh-CN"/>
        </w:rPr>
        <w:t>4</w:t>
      </w:r>
      <w:r>
        <w:rPr>
          <w:rFonts w:hint="eastAsia" w:ascii="仿宋_GB2312" w:hAnsi="仿宋_GB2312" w:eastAsia="仿宋_GB2312" w:cs="仿宋_GB2312"/>
          <w:sz w:val="32"/>
        </w:rPr>
        <w:t>.教育支出（类）职业教育（款）技校教育（项）：指人力资源社会保障部门举办的技校教育支出，政府各部门对社会组织等举办的技工学校的资助，如捐赠、补贴等。</w:t>
      </w:r>
    </w:p>
    <w:p>
      <w:pPr>
        <w:pStyle w:val="14"/>
        <w:keepNext w:val="0"/>
        <w:keepLines w:val="0"/>
        <w:pageBreakBefore w:val="0"/>
        <w:kinsoku/>
        <w:wordWrap/>
        <w:overflowPunct/>
        <w:topLinePunct w:val="0"/>
        <w:bidi w:val="0"/>
        <w:snapToGrid/>
        <w:spacing w:before="75" w:beforeAutospacing="0" w:after="75" w:afterAutospacing="0"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5</w:t>
      </w:r>
      <w:r>
        <w:rPr>
          <w:rFonts w:hint="eastAsia" w:ascii="仿宋_GB2312" w:hAnsi="仿宋_GB2312" w:eastAsia="仿宋_GB2312" w:cs="仿宋_GB2312"/>
          <w:color w:val="000000"/>
          <w:sz w:val="32"/>
          <w:szCs w:val="32"/>
        </w:rPr>
        <w:t>.社会保障和就业支出（类）行政事业单位养老支出（款）机关事业单位基本养老保险缴费支出（项）：指机关事业单位实施养老保险制度由单位实际缴纳的基本养老保险支出。</w:t>
      </w:r>
    </w:p>
    <w:p>
      <w:pPr>
        <w:pStyle w:val="14"/>
        <w:keepNext w:val="0"/>
        <w:keepLines w:val="0"/>
        <w:pageBreakBefore w:val="0"/>
        <w:kinsoku/>
        <w:wordWrap/>
        <w:overflowPunct/>
        <w:topLinePunct w:val="0"/>
        <w:bidi w:val="0"/>
        <w:snapToGrid/>
        <w:spacing w:before="75" w:beforeAutospacing="0" w:after="75" w:afterAutospacing="0"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6</w:t>
      </w:r>
      <w:r>
        <w:rPr>
          <w:rFonts w:hint="eastAsia" w:ascii="仿宋_GB2312" w:hAnsi="仿宋_GB2312" w:eastAsia="仿宋_GB2312" w:cs="仿宋_GB2312"/>
          <w:color w:val="000000"/>
          <w:sz w:val="32"/>
          <w:szCs w:val="32"/>
        </w:rPr>
        <w:t>.社会保障和就业支出（类）行政事业单位养老支出（款）机关事业单位职业年金缴费支出（项）：指机关事业单位实施养老保险制度由单位实际缴纳的职业年金支出。</w:t>
      </w:r>
    </w:p>
    <w:p>
      <w:pPr>
        <w:keepNext w:val="0"/>
        <w:keepLines w:val="0"/>
        <w:pageBreakBefore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lang w:val="en-US" w:eastAsia="zh-CN"/>
        </w:rPr>
        <w:t>7</w:t>
      </w:r>
      <w:r>
        <w:rPr>
          <w:rFonts w:hint="eastAsia" w:ascii="仿宋_GB2312" w:hAnsi="仿宋_GB2312" w:eastAsia="仿宋_GB2312" w:cs="仿宋_GB2312"/>
          <w:sz w:val="32"/>
        </w:rPr>
        <w:t>.社会保障和就业支出（类）抚恤（款）死亡抚恤（项）：指按规定用于烈士和牺牲、病故人员家属的一次性和定期抚恤金以及丧葬补助费。</w:t>
      </w:r>
    </w:p>
    <w:p>
      <w:pPr>
        <w:pStyle w:val="14"/>
        <w:keepNext w:val="0"/>
        <w:keepLines w:val="0"/>
        <w:pageBreakBefore w:val="0"/>
        <w:kinsoku/>
        <w:wordWrap/>
        <w:overflowPunct/>
        <w:topLinePunct w:val="0"/>
        <w:bidi w:val="0"/>
        <w:snapToGrid/>
        <w:spacing w:before="75" w:beforeAutospacing="0" w:after="75" w:afterAutospacing="0"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8</w:t>
      </w:r>
      <w:r>
        <w:rPr>
          <w:rFonts w:hint="eastAsia" w:ascii="仿宋_GB2312" w:hAnsi="仿宋_GB2312" w:eastAsia="仿宋_GB2312" w:cs="仿宋_GB2312"/>
          <w:color w:val="000000"/>
          <w:sz w:val="32"/>
          <w:szCs w:val="32"/>
        </w:rPr>
        <w:t>.卫生健康支出（类）行政事业单位医疗（款）事业单位医疗（项）：指财政部门安排的事业单位基本医疗保险缴费经费，未参加医疗保险的事业单位的公费医疗经费，按国家规定享受离休人员待遇人员的医疗经费。</w:t>
      </w:r>
    </w:p>
    <w:p>
      <w:pPr>
        <w:pStyle w:val="14"/>
        <w:keepNext w:val="0"/>
        <w:keepLines w:val="0"/>
        <w:pageBreakBefore w:val="0"/>
        <w:kinsoku/>
        <w:wordWrap/>
        <w:overflowPunct/>
        <w:topLinePunct w:val="0"/>
        <w:bidi w:val="0"/>
        <w:snapToGrid/>
        <w:spacing w:before="75" w:beforeAutospacing="0" w:after="75" w:afterAutospacing="0"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val="en-US" w:eastAsia="zh-CN"/>
        </w:rPr>
        <w:t>9</w:t>
      </w:r>
      <w:r>
        <w:rPr>
          <w:rFonts w:hint="eastAsia" w:ascii="仿宋_GB2312" w:hAnsi="仿宋_GB2312" w:eastAsia="仿宋_GB2312" w:cs="仿宋_GB2312"/>
          <w:color w:val="000000"/>
          <w:sz w:val="32"/>
          <w:szCs w:val="32"/>
        </w:rPr>
        <w:t>.住房保障支出（类）住房改革支出（款）住房公积金（项）：指行政事业单位按人力资源和社会保障部、财政部规定的基本工资和津贴补贴以及规定比例为职工缴纳的住房公积金。</w:t>
      </w:r>
    </w:p>
    <w:p>
      <w:pPr>
        <w:keepNext w:val="0"/>
        <w:keepLines w:val="0"/>
        <w:pageBreakBefore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1</w:t>
      </w:r>
      <w:r>
        <w:rPr>
          <w:rFonts w:hint="eastAsia" w:ascii="仿宋_GB2312" w:hAnsi="仿宋_GB2312" w:eastAsia="仿宋_GB2312" w:cs="仿宋_GB2312"/>
          <w:sz w:val="32"/>
          <w:lang w:val="en-US" w:eastAsia="zh-CN"/>
        </w:rPr>
        <w:t>0</w:t>
      </w:r>
      <w:r>
        <w:rPr>
          <w:rFonts w:hint="eastAsia" w:ascii="仿宋_GB2312" w:hAnsi="仿宋_GB2312" w:eastAsia="仿宋_GB2312" w:cs="仿宋_GB2312"/>
          <w:sz w:val="32"/>
        </w:rPr>
        <w:t>.基本支出：指为保障机构正常运转、完成日常工作任务而发生的人员支出和公用支出。</w:t>
      </w:r>
    </w:p>
    <w:p>
      <w:pPr>
        <w:keepNext w:val="0"/>
        <w:keepLines w:val="0"/>
        <w:pageBreakBefore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1</w:t>
      </w:r>
      <w:r>
        <w:rPr>
          <w:rFonts w:hint="eastAsia" w:ascii="仿宋_GB2312" w:hAnsi="仿宋_GB2312" w:eastAsia="仿宋_GB2312" w:cs="仿宋_GB2312"/>
          <w:sz w:val="32"/>
          <w:lang w:val="en-US" w:eastAsia="zh-CN"/>
        </w:rPr>
        <w:t>1</w:t>
      </w:r>
      <w:r>
        <w:rPr>
          <w:rFonts w:hint="eastAsia" w:ascii="仿宋_GB2312" w:hAnsi="仿宋_GB2312" w:eastAsia="仿宋_GB2312" w:cs="仿宋_GB2312"/>
          <w:sz w:val="32"/>
        </w:rPr>
        <w:t>.项目支出：指在基本支出之外为完成特定行政任务和事业发展目标所发生的支出。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0"/>
        <w:rPr>
          <w:rFonts w:hint="eastAsia" w:ascii="仿宋_GB2312" w:hAnsi="仿宋_GB2312" w:eastAsia="仿宋_GB2312" w:cs="仿宋_GB2312"/>
          <w:color w:val="000000"/>
          <w:kern w:val="2"/>
          <w:sz w:val="32"/>
          <w:szCs w:val="32"/>
          <w:lang w:val="en-US" w:eastAsia="zh-CN" w:bidi="ar-SA"/>
        </w:rPr>
      </w:pPr>
      <w:bookmarkStart w:id="73" w:name="_Toc27013"/>
      <w:r>
        <w:rPr>
          <w:rFonts w:hint="eastAsia" w:ascii="仿宋_GB2312" w:hAnsi="仿宋_GB2312" w:eastAsia="仿宋_GB2312" w:cs="仿宋_GB2312"/>
          <w:color w:val="000000"/>
          <w:kern w:val="2"/>
          <w:sz w:val="32"/>
          <w:szCs w:val="32"/>
          <w:lang w:val="en-US" w:eastAsia="zh-CN" w:bidi="ar-SA"/>
        </w:rPr>
        <w:t>12.“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bookmarkEnd w:id="73"/>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center"/>
        <w:textAlignment w:val="auto"/>
        <w:outlineLvl w:val="0"/>
        <w:rPr>
          <w:rStyle w:val="28"/>
          <w:rFonts w:hint="eastAsia" w:ascii="黑体" w:hAnsi="黑体" w:eastAsia="黑体"/>
          <w:b w:val="0"/>
        </w:rPr>
      </w:pPr>
      <w:r>
        <w:rPr>
          <w:rFonts w:hint="eastAsia" w:ascii="仿宋_GB2312" w:hAnsi="仿宋_GB2312" w:eastAsia="仿宋_GB2312" w:cs="仿宋_GB2312"/>
          <w:color w:val="000000"/>
          <w:kern w:val="2"/>
          <w:sz w:val="32"/>
          <w:szCs w:val="32"/>
          <w:lang w:val="en-US" w:eastAsia="zh-CN" w:bidi="ar-SA"/>
        </w:rPr>
        <w:br w:type="page"/>
      </w:r>
      <w:bookmarkStart w:id="74" w:name="_Toc25365"/>
      <w:bookmarkStart w:id="75" w:name="_Toc15396614"/>
      <w:r>
        <w:rPr>
          <w:rFonts w:hint="eastAsia" w:ascii="黑体" w:hAnsi="黑体" w:eastAsia="黑体"/>
          <w:sz w:val="44"/>
          <w:szCs w:val="44"/>
        </w:rPr>
        <w:t>第</w:t>
      </w:r>
      <w:r>
        <w:rPr>
          <w:rStyle w:val="28"/>
          <w:rFonts w:hint="eastAsia" w:ascii="黑体" w:hAnsi="黑体" w:eastAsia="黑体"/>
          <w:b w:val="0"/>
        </w:rPr>
        <w:t>四部分 附件</w:t>
      </w:r>
      <w:bookmarkEnd w:id="74"/>
      <w:bookmarkEnd w:id="75"/>
      <w:bookmarkStart w:id="76" w:name="_Toc15396618"/>
    </w:p>
    <w:p>
      <w:pPr>
        <w:widowControl/>
        <w:ind w:firstLine="0" w:firstLineChars="0"/>
        <w:jc w:val="center"/>
        <w:rPr>
          <w:rFonts w:hint="eastAsia" w:ascii="黑体" w:hAnsi="黑体" w:eastAsia="黑体"/>
          <w:sz w:val="44"/>
          <w:szCs w:val="44"/>
          <w:shd w:val="clear" w:color="auto" w:fill="FFFFFF"/>
        </w:rPr>
      </w:pPr>
      <w:r>
        <w:rPr>
          <w:rFonts w:hint="eastAsia" w:ascii="黑体" w:hAnsi="黑体" w:eastAsia="黑体"/>
          <w:sz w:val="44"/>
          <w:szCs w:val="44"/>
          <w:shd w:val="clear" w:color="auto" w:fill="FFFFFF"/>
        </w:rPr>
        <w:t>广元市交通技工学校</w:t>
      </w:r>
    </w:p>
    <w:p>
      <w:pPr>
        <w:widowControl/>
        <w:ind w:firstLine="0" w:firstLineChars="0"/>
        <w:jc w:val="center"/>
        <w:rPr>
          <w:rFonts w:hint="eastAsia" w:ascii="黑体" w:hAnsi="黑体" w:eastAsia="黑体" w:cs="方正小标宋简体"/>
          <w:bCs/>
          <w:sz w:val="44"/>
          <w:szCs w:val="44"/>
          <w:shd w:val="clear" w:color="auto" w:fill="FFFFFF"/>
        </w:rPr>
      </w:pPr>
      <w:r>
        <w:rPr>
          <w:rFonts w:hint="eastAsia" w:ascii="黑体" w:hAnsi="黑体" w:eastAsia="黑体" w:cs="方正小标宋简体"/>
          <w:bCs/>
          <w:sz w:val="44"/>
          <w:szCs w:val="44"/>
          <w:shd w:val="clear" w:color="auto" w:fill="FFFFFF"/>
        </w:rPr>
        <w:t>2023年市级部门整体支出绩效评价报告</w:t>
      </w:r>
    </w:p>
    <w:p>
      <w:pPr>
        <w:widowControl/>
        <w:adjustRightInd w:val="0"/>
        <w:snapToGrid w:val="0"/>
        <w:contextualSpacing/>
        <w:rPr>
          <w:rFonts w:ascii="仿宋" w:hAnsi="仿宋" w:eastAsia="仿宋"/>
          <w:color w:val="000000"/>
          <w:kern w:val="0"/>
          <w:sz w:val="32"/>
          <w:szCs w:val="32"/>
          <w:shd w:val="clear" w:color="auto" w:fill="FFFFFF"/>
        </w:rPr>
      </w:pPr>
    </w:p>
    <w:p>
      <w:pPr>
        <w:keepNext w:val="0"/>
        <w:keepLines w:val="0"/>
        <w:pageBreakBefore w:val="0"/>
        <w:widowControl/>
        <w:kinsoku/>
        <w:wordWrap/>
        <w:overflowPunct/>
        <w:topLinePunct w:val="0"/>
        <w:autoSpaceDE/>
        <w:autoSpaceDN/>
        <w:bidi w:val="0"/>
        <w:adjustRightInd w:val="0"/>
        <w:snapToGrid w:val="0"/>
        <w:ind w:firstLine="640" w:firstLineChars="200"/>
        <w:contextualSpacing/>
        <w:textAlignment w:val="auto"/>
        <w:outlineLvl w:val="1"/>
        <w:rPr>
          <w:rFonts w:ascii="黑体" w:hAnsi="黑体" w:eastAsia="黑体"/>
          <w:sz w:val="32"/>
          <w:szCs w:val="32"/>
        </w:rPr>
      </w:pPr>
      <w:bookmarkStart w:id="77" w:name="_Toc5167"/>
      <w:r>
        <w:rPr>
          <w:rFonts w:hint="eastAsia" w:ascii="黑体" w:hAnsi="黑体" w:eastAsia="黑体"/>
          <w:color w:val="000000"/>
          <w:kern w:val="0"/>
          <w:sz w:val="32"/>
          <w:szCs w:val="32"/>
          <w:shd w:val="clear" w:color="auto" w:fill="FFFFFF"/>
          <w:lang w:val="zh-CN"/>
        </w:rPr>
        <w:t>一、</w:t>
      </w:r>
      <w:r>
        <w:rPr>
          <w:rFonts w:ascii="黑体" w:hAnsi="黑体" w:eastAsia="黑体"/>
          <w:color w:val="000000"/>
          <w:kern w:val="0"/>
          <w:sz w:val="32"/>
          <w:szCs w:val="32"/>
          <w:shd w:val="clear" w:color="auto" w:fill="FFFFFF"/>
          <w:lang w:val="zh-CN"/>
        </w:rPr>
        <w:t>部门（单位）基本情况</w:t>
      </w:r>
      <w:bookmarkEnd w:id="77"/>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color w:val="000000"/>
          <w:kern w:val="0"/>
          <w:sz w:val="32"/>
          <w:szCs w:val="32"/>
          <w:shd w:val="clear" w:color="auto" w:fill="FFFFFF"/>
          <w:lang w:val="zh-CN"/>
        </w:rPr>
        <w:t>（一）机构组成。</w:t>
      </w:r>
      <w:r>
        <w:rPr>
          <w:rFonts w:hint="eastAsia" w:ascii="仿宋_GB2312" w:hAnsi="仿宋_GB2312" w:eastAsia="仿宋_GB2312" w:cs="仿宋_GB2312"/>
          <w:bCs/>
          <w:sz w:val="32"/>
          <w:szCs w:val="32"/>
        </w:rPr>
        <w:t>市财政一级预算管理单位，内设办公室等6个科室，无下属单位。</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color w:val="000000"/>
          <w:kern w:val="0"/>
          <w:sz w:val="32"/>
          <w:szCs w:val="32"/>
          <w:shd w:val="clear" w:color="auto" w:fill="FFFFFF"/>
          <w:lang w:val="zh-CN"/>
        </w:rPr>
        <w:t>（二）机构职能。</w:t>
      </w:r>
      <w:r>
        <w:rPr>
          <w:rFonts w:hint="eastAsia" w:ascii="仿宋_GB2312" w:hAnsi="仿宋_GB2312" w:eastAsia="仿宋_GB2312" w:cs="仿宋_GB2312"/>
          <w:bCs/>
          <w:sz w:val="32"/>
          <w:szCs w:val="32"/>
        </w:rPr>
        <w:t>根据广编发﹝2007﹞11号文件，本部门主要职责是学从事中职学历教育、大专及以上学历层次函授教育、职业技能鉴定、道路运输从业资格证培训、汽车驾驶员培训、内河船舶船员培训、交通执法人员培训及其他短期培训。</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color w:val="000000"/>
          <w:kern w:val="0"/>
          <w:sz w:val="32"/>
          <w:szCs w:val="32"/>
          <w:shd w:val="clear" w:color="auto" w:fill="FFFFFF"/>
          <w:lang w:val="zh-CN"/>
        </w:rPr>
        <w:t>（三）人员概况。</w:t>
      </w:r>
      <w:r>
        <w:rPr>
          <w:rFonts w:hint="eastAsia" w:ascii="仿宋_GB2312" w:hAnsi="仿宋_GB2312" w:eastAsia="仿宋_GB2312" w:cs="仿宋_GB2312"/>
          <w:bCs/>
          <w:sz w:val="32"/>
          <w:szCs w:val="32"/>
        </w:rPr>
        <w:t>截至2023年末，我单位核定事业编制15人。事业人员16人，退休人员17人。</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textAlignment w:val="auto"/>
        <w:outlineLvl w:val="1"/>
        <w:rPr>
          <w:rFonts w:hint="eastAsia" w:ascii="黑体" w:hAnsi="黑体" w:eastAsia="黑体"/>
          <w:color w:val="000000"/>
          <w:kern w:val="0"/>
          <w:sz w:val="32"/>
          <w:szCs w:val="32"/>
          <w:shd w:val="clear" w:color="auto" w:fill="FFFFFF"/>
          <w:lang w:val="zh-CN"/>
        </w:rPr>
      </w:pPr>
      <w:bookmarkStart w:id="78" w:name="_Toc23671"/>
      <w:r>
        <w:rPr>
          <w:rFonts w:hint="eastAsia" w:ascii="黑体" w:hAnsi="黑体" w:eastAsia="黑体"/>
          <w:color w:val="000000"/>
          <w:kern w:val="0"/>
          <w:sz w:val="32"/>
          <w:szCs w:val="32"/>
          <w:shd w:val="clear" w:color="auto" w:fill="FFFFFF"/>
          <w:lang w:val="zh-CN"/>
        </w:rPr>
        <w:t>二、部门资金收支情况</w:t>
      </w:r>
      <w:bookmarkEnd w:id="78"/>
    </w:p>
    <w:p>
      <w:pPr>
        <w:keepNext w:val="0"/>
        <w:keepLines w:val="0"/>
        <w:pageBreakBefore w:val="0"/>
        <w:widowControl/>
        <w:kinsoku/>
        <w:wordWrap/>
        <w:overflowPunct/>
        <w:topLinePunct w:val="0"/>
        <w:autoSpaceDE/>
        <w:autoSpaceDN/>
        <w:bidi w:val="0"/>
        <w:adjustRightInd w:val="0"/>
        <w:snapToGrid w:val="0"/>
        <w:spacing w:line="600" w:lineRule="exact"/>
        <w:ind w:firstLine="480" w:firstLineChars="150"/>
        <w:textAlignment w:val="auto"/>
        <w:rPr>
          <w:rFonts w:hint="eastAsia" w:ascii="仿宋_GB2312" w:hAnsi="仿宋_GB2312" w:eastAsia="仿宋_GB2312" w:cs="仿宋_GB2312"/>
          <w:bCs/>
          <w:sz w:val="32"/>
          <w:szCs w:val="32"/>
          <w:lang w:val="zh-CN"/>
        </w:rPr>
      </w:pPr>
      <w:r>
        <w:rPr>
          <w:rFonts w:hint="eastAsia" w:ascii="仿宋_GB2312" w:hAnsi="仿宋_GB2312" w:eastAsia="仿宋_GB2312" w:cs="仿宋_GB2312"/>
          <w:color w:val="000000"/>
          <w:kern w:val="0"/>
          <w:sz w:val="32"/>
          <w:szCs w:val="32"/>
          <w:shd w:val="clear" w:color="auto" w:fill="FFFFFF"/>
          <w:lang w:val="zh-CN"/>
        </w:rPr>
        <w:t>（一）</w:t>
      </w:r>
      <w:r>
        <w:rPr>
          <w:rFonts w:hint="eastAsia" w:ascii="仿宋_GB2312" w:hAnsi="仿宋_GB2312" w:eastAsia="仿宋_GB2312" w:cs="仿宋_GB2312"/>
          <w:bCs/>
          <w:sz w:val="32"/>
          <w:szCs w:val="32"/>
          <w:lang w:val="zh-CN"/>
        </w:rPr>
        <w:t>部门总体收</w:t>
      </w:r>
      <w:r>
        <w:rPr>
          <w:rFonts w:hint="eastAsia" w:ascii="仿宋_GB2312" w:hAnsi="仿宋_GB2312" w:eastAsia="仿宋_GB2312" w:cs="仿宋_GB2312"/>
          <w:bCs/>
          <w:sz w:val="32"/>
          <w:szCs w:val="32"/>
        </w:rPr>
        <w:t>支情况</w:t>
      </w:r>
    </w:p>
    <w:p>
      <w:pPr>
        <w:keepNext w:val="0"/>
        <w:keepLines w:val="0"/>
        <w:pageBreakBefore w:val="0"/>
        <w:widowControl/>
        <w:kinsoku/>
        <w:wordWrap/>
        <w:overflowPunct/>
        <w:topLinePunct w:val="0"/>
        <w:autoSpaceDE/>
        <w:autoSpaceDN/>
        <w:bidi w:val="0"/>
        <w:adjustRightInd w:val="0"/>
        <w:snapToGrid w:val="0"/>
        <w:spacing w:line="600" w:lineRule="exact"/>
        <w:ind w:firstLine="803" w:firstLineChars="25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
          <w:bCs/>
          <w:sz w:val="32"/>
          <w:szCs w:val="32"/>
        </w:rPr>
        <w:t>1.部门总体收入情况。</w:t>
      </w:r>
      <w:r>
        <w:rPr>
          <w:rFonts w:hint="eastAsia" w:ascii="仿宋_GB2312" w:hAnsi="仿宋_GB2312" w:eastAsia="仿宋_GB2312" w:cs="仿宋_GB2312"/>
          <w:bCs/>
          <w:sz w:val="32"/>
          <w:szCs w:val="32"/>
        </w:rPr>
        <w:t>2023年总体收入合计658.09万元。其中，一般公共预算财政拨款收入658.09万元，占总收入100%。</w:t>
      </w:r>
    </w:p>
    <w:p>
      <w:pPr>
        <w:keepNext w:val="0"/>
        <w:keepLines w:val="0"/>
        <w:pageBreakBefore w:val="0"/>
        <w:widowControl/>
        <w:kinsoku/>
        <w:wordWrap/>
        <w:overflowPunct/>
        <w:topLinePunct w:val="0"/>
        <w:autoSpaceDE/>
        <w:autoSpaceDN/>
        <w:bidi w:val="0"/>
        <w:adjustRightInd w:val="0"/>
        <w:snapToGrid w:val="0"/>
        <w:spacing w:line="600" w:lineRule="exact"/>
        <w:ind w:firstLine="803" w:firstLineChars="25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
          <w:bCs/>
          <w:sz w:val="32"/>
          <w:szCs w:val="32"/>
        </w:rPr>
        <w:t>2.部门总体支出情况。</w:t>
      </w:r>
      <w:r>
        <w:rPr>
          <w:rFonts w:hint="eastAsia" w:ascii="仿宋_GB2312" w:hAnsi="仿宋_GB2312" w:eastAsia="仿宋_GB2312" w:cs="仿宋_GB2312"/>
          <w:bCs/>
          <w:sz w:val="32"/>
          <w:szCs w:val="32"/>
        </w:rPr>
        <w:t>2023年支出658.14万元。其中，基本支出395.41万元，占总支出60.08%；目支出262.73万元，占总支出39.92%。</w:t>
      </w:r>
    </w:p>
    <w:p>
      <w:pPr>
        <w:keepNext w:val="0"/>
        <w:keepLines w:val="0"/>
        <w:pageBreakBefore w:val="0"/>
        <w:widowControl/>
        <w:kinsoku/>
        <w:wordWrap/>
        <w:overflowPunct/>
        <w:topLinePunct w:val="0"/>
        <w:autoSpaceDE/>
        <w:autoSpaceDN/>
        <w:bidi w:val="0"/>
        <w:adjustRightInd w:val="0"/>
        <w:snapToGrid w:val="0"/>
        <w:spacing w:line="600" w:lineRule="exact"/>
        <w:ind w:firstLine="803" w:firstLineChars="25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
          <w:bCs/>
          <w:sz w:val="32"/>
          <w:szCs w:val="32"/>
        </w:rPr>
        <w:t>3.结转结余情况。</w:t>
      </w:r>
      <w:r>
        <w:rPr>
          <w:rFonts w:hint="eastAsia" w:ascii="仿宋_GB2312" w:hAnsi="仿宋_GB2312" w:eastAsia="仿宋_GB2312" w:cs="仿宋_GB2312"/>
          <w:bCs/>
          <w:sz w:val="32"/>
          <w:szCs w:val="32"/>
        </w:rPr>
        <w:t>2023年总体支出结转结余2.72万元。为财政拨款结余。</w:t>
      </w:r>
    </w:p>
    <w:p>
      <w:pPr>
        <w:keepNext w:val="0"/>
        <w:keepLines w:val="0"/>
        <w:pageBreakBefore w:val="0"/>
        <w:widowControl/>
        <w:kinsoku/>
        <w:wordWrap/>
        <w:overflowPunct/>
        <w:topLinePunct w:val="0"/>
        <w:autoSpaceDE/>
        <w:autoSpaceDN/>
        <w:bidi w:val="0"/>
        <w:adjustRightInd w:val="0"/>
        <w:snapToGrid w:val="0"/>
        <w:spacing w:line="600" w:lineRule="exact"/>
        <w:ind w:firstLine="480" w:firstLineChars="1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hint="eastAsia" w:ascii="仿宋_GB2312" w:hAnsi="仿宋_GB2312" w:eastAsia="仿宋_GB2312" w:cs="仿宋_GB2312"/>
          <w:bCs/>
          <w:sz w:val="32"/>
          <w:szCs w:val="32"/>
          <w:lang w:val="zh-CN"/>
        </w:rPr>
        <w:t>部门</w:t>
      </w:r>
      <w:r>
        <w:rPr>
          <w:rFonts w:hint="eastAsia" w:ascii="仿宋_GB2312" w:hAnsi="仿宋_GB2312" w:eastAsia="仿宋_GB2312" w:cs="仿宋_GB2312"/>
          <w:sz w:val="32"/>
          <w:szCs w:val="32"/>
        </w:rPr>
        <w:t>财政拨款收支情况</w:t>
      </w:r>
    </w:p>
    <w:p>
      <w:pPr>
        <w:keepNext w:val="0"/>
        <w:keepLines w:val="0"/>
        <w:pageBreakBefore w:val="0"/>
        <w:widowControl/>
        <w:kinsoku/>
        <w:wordWrap/>
        <w:overflowPunct/>
        <w:topLinePunct w:val="0"/>
        <w:autoSpaceDE/>
        <w:autoSpaceDN/>
        <w:bidi w:val="0"/>
        <w:adjustRightInd w:val="0"/>
        <w:snapToGrid w:val="0"/>
        <w:spacing w:line="600" w:lineRule="exact"/>
        <w:ind w:firstLine="643"/>
        <w:contextualSpacing/>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
          <w:bCs/>
          <w:sz w:val="32"/>
          <w:szCs w:val="32"/>
        </w:rPr>
        <w:t>1.部门财政拨款收入情况。</w:t>
      </w:r>
      <w:r>
        <w:rPr>
          <w:rFonts w:hint="eastAsia" w:ascii="仿宋_GB2312" w:hAnsi="仿宋_GB2312" w:eastAsia="仿宋_GB2312" w:cs="仿宋_GB2312"/>
          <w:bCs/>
          <w:sz w:val="32"/>
          <w:szCs w:val="32"/>
        </w:rPr>
        <w:t>2023年财政拨款收入658.09万元。其中，一般公共预算财政拨款收入658.09万元，占总收入100.00%。</w:t>
      </w:r>
    </w:p>
    <w:p>
      <w:pPr>
        <w:keepNext w:val="0"/>
        <w:keepLines w:val="0"/>
        <w:pageBreakBefore w:val="0"/>
        <w:widowControl/>
        <w:kinsoku/>
        <w:wordWrap/>
        <w:overflowPunct/>
        <w:topLinePunct w:val="0"/>
        <w:autoSpaceDE/>
        <w:autoSpaceDN/>
        <w:bidi w:val="0"/>
        <w:adjustRightInd w:val="0"/>
        <w:snapToGrid w:val="0"/>
        <w:spacing w:line="600" w:lineRule="exact"/>
        <w:ind w:firstLine="643"/>
        <w:contextualSpacing/>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
          <w:bCs/>
          <w:sz w:val="32"/>
          <w:szCs w:val="32"/>
        </w:rPr>
        <w:t>2.部门财政拨款支出情况。</w:t>
      </w:r>
      <w:r>
        <w:rPr>
          <w:rFonts w:hint="eastAsia" w:ascii="仿宋_GB2312" w:hAnsi="仿宋_GB2312" w:eastAsia="仿宋_GB2312" w:cs="仿宋_GB2312"/>
          <w:bCs/>
          <w:sz w:val="32"/>
          <w:szCs w:val="32"/>
        </w:rPr>
        <w:t>2023年财政拨款支出658.14万元。其中，基本支出395.41万元，占总支出60.08%；项目支出262.73万元，占总支出39.92%。</w:t>
      </w:r>
    </w:p>
    <w:p>
      <w:pPr>
        <w:keepNext w:val="0"/>
        <w:keepLines w:val="0"/>
        <w:pageBreakBefore w:val="0"/>
        <w:widowControl/>
        <w:kinsoku/>
        <w:wordWrap/>
        <w:overflowPunct/>
        <w:topLinePunct w:val="0"/>
        <w:autoSpaceDE/>
        <w:autoSpaceDN/>
        <w:bidi w:val="0"/>
        <w:adjustRightInd w:val="0"/>
        <w:snapToGrid w:val="0"/>
        <w:spacing w:line="600" w:lineRule="exact"/>
        <w:ind w:firstLine="643"/>
        <w:contextualSpacing/>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
          <w:bCs/>
          <w:sz w:val="32"/>
          <w:szCs w:val="32"/>
        </w:rPr>
        <w:t>3.结转结余情况。</w:t>
      </w:r>
      <w:r>
        <w:rPr>
          <w:rFonts w:hint="eastAsia" w:ascii="仿宋_GB2312" w:hAnsi="仿宋_GB2312" w:eastAsia="仿宋_GB2312" w:cs="仿宋_GB2312"/>
          <w:bCs/>
          <w:sz w:val="32"/>
          <w:szCs w:val="32"/>
        </w:rPr>
        <w:t>2023年总体支出结转结余2.72万元。为财政拨款结余。</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textAlignment w:val="auto"/>
        <w:outlineLvl w:val="1"/>
        <w:rPr>
          <w:rFonts w:hint="eastAsia" w:ascii="黑体" w:hAnsi="黑体" w:eastAsia="黑体"/>
          <w:color w:val="000000"/>
          <w:kern w:val="0"/>
          <w:sz w:val="32"/>
          <w:szCs w:val="32"/>
          <w:shd w:val="clear" w:color="auto" w:fill="FFFFFF"/>
          <w:lang w:val="zh-CN"/>
        </w:rPr>
      </w:pPr>
      <w:bookmarkStart w:id="79" w:name="_Toc4618"/>
      <w:r>
        <w:rPr>
          <w:rFonts w:hint="eastAsia" w:ascii="黑体" w:hAnsi="黑体" w:eastAsia="黑体"/>
          <w:color w:val="000000"/>
          <w:kern w:val="0"/>
          <w:sz w:val="32"/>
          <w:szCs w:val="32"/>
          <w:shd w:val="clear" w:color="auto" w:fill="FFFFFF"/>
          <w:lang w:val="zh-CN"/>
        </w:rPr>
        <w:t>三、部门预算绩效分析</w:t>
      </w:r>
      <w:bookmarkEnd w:id="79"/>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textAlignment w:val="auto"/>
        <w:rPr>
          <w:rFonts w:eastAsia="楷体_GB2312"/>
          <w:color w:val="000000"/>
          <w:kern w:val="0"/>
          <w:sz w:val="32"/>
          <w:szCs w:val="32"/>
          <w:shd w:val="clear" w:color="auto" w:fill="FFFFFF"/>
          <w:lang w:val="zh-CN"/>
        </w:rPr>
      </w:pPr>
      <w:r>
        <w:rPr>
          <w:rFonts w:eastAsia="楷体_GB2312"/>
          <w:color w:val="000000"/>
          <w:kern w:val="0"/>
          <w:sz w:val="32"/>
          <w:szCs w:val="32"/>
          <w:shd w:val="clear" w:color="auto" w:fill="FFFFFF"/>
          <w:lang w:val="zh-CN"/>
        </w:rPr>
        <w:t>（一）</w:t>
      </w:r>
      <w:r>
        <w:rPr>
          <w:rFonts w:hint="eastAsia" w:eastAsia="楷体_GB2312"/>
          <w:color w:val="000000"/>
          <w:kern w:val="0"/>
          <w:sz w:val="32"/>
          <w:szCs w:val="32"/>
          <w:shd w:val="clear" w:color="auto" w:fill="FFFFFF"/>
          <w:lang w:val="zh-CN"/>
        </w:rPr>
        <w:t>部门预算</w:t>
      </w:r>
      <w:r>
        <w:rPr>
          <w:rFonts w:eastAsia="楷体_GB2312"/>
          <w:color w:val="000000"/>
          <w:kern w:val="0"/>
          <w:sz w:val="32"/>
          <w:szCs w:val="32"/>
          <w:shd w:val="clear" w:color="auto" w:fill="FFFFFF"/>
          <w:lang w:val="zh-CN"/>
        </w:rPr>
        <w:t>总体绩效分析。</w:t>
      </w:r>
    </w:p>
    <w:p>
      <w:pPr>
        <w:keepNext w:val="0"/>
        <w:keepLines w:val="0"/>
        <w:pageBreakBefore w:val="0"/>
        <w:widowControl/>
        <w:kinsoku/>
        <w:wordWrap/>
        <w:overflowPunct/>
        <w:topLinePunct w:val="0"/>
        <w:autoSpaceDE/>
        <w:autoSpaceDN/>
        <w:bidi w:val="0"/>
        <w:adjustRightInd w:val="0"/>
        <w:snapToGrid w:val="0"/>
        <w:spacing w:line="600" w:lineRule="exact"/>
        <w:ind w:firstLine="568" w:firstLineChars="177"/>
        <w:textAlignment w:val="auto"/>
        <w:rPr>
          <w:rFonts w:hint="eastAsia" w:ascii="仿宋_GB2312" w:hAnsi="仿宋_GB2312" w:eastAsia="仿宋_GB2312" w:cs="仿宋_GB2312"/>
          <w:b/>
          <w:color w:val="000000"/>
          <w:kern w:val="0"/>
          <w:sz w:val="32"/>
          <w:szCs w:val="32"/>
          <w:shd w:val="clear" w:color="auto" w:fill="FFFFFF"/>
          <w:lang w:val="zh-CN"/>
        </w:rPr>
      </w:pPr>
      <w:r>
        <w:rPr>
          <w:rFonts w:hint="eastAsia" w:ascii="仿宋_GB2312" w:hAnsi="仿宋_GB2312" w:eastAsia="仿宋_GB2312" w:cs="仿宋_GB2312"/>
          <w:b/>
          <w:color w:val="000000"/>
          <w:kern w:val="0"/>
          <w:sz w:val="32"/>
          <w:szCs w:val="32"/>
          <w:shd w:val="clear" w:color="auto" w:fill="FFFFFF"/>
          <w:lang w:val="zh-CN"/>
        </w:rPr>
        <w:t>1.履职效能共15分，自评得15分</w:t>
      </w:r>
    </w:p>
    <w:p>
      <w:pPr>
        <w:keepNext w:val="0"/>
        <w:keepLines w:val="0"/>
        <w:pageBreakBefore w:val="0"/>
        <w:widowControl/>
        <w:kinsoku/>
        <w:wordWrap/>
        <w:overflowPunct/>
        <w:topLinePunct w:val="0"/>
        <w:autoSpaceDE/>
        <w:autoSpaceDN/>
        <w:bidi w:val="0"/>
        <w:adjustRightInd w:val="0"/>
        <w:snapToGrid w:val="0"/>
        <w:spacing w:line="600" w:lineRule="exact"/>
        <w:ind w:firstLine="566" w:firstLineChars="177"/>
        <w:textAlignment w:val="auto"/>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（1）核心业务完成度。本部门在其主要职责范围内的工作任务基本完成。完成率高且质量好，对于具有明确目标的任务，实际完成数量与目标越接近得15分。</w:t>
      </w:r>
    </w:p>
    <w:p>
      <w:pPr>
        <w:keepNext w:val="0"/>
        <w:keepLines w:val="0"/>
        <w:pageBreakBefore w:val="0"/>
        <w:widowControl/>
        <w:kinsoku/>
        <w:wordWrap/>
        <w:overflowPunct/>
        <w:topLinePunct w:val="0"/>
        <w:autoSpaceDE/>
        <w:autoSpaceDN/>
        <w:bidi w:val="0"/>
        <w:adjustRightInd w:val="0"/>
        <w:snapToGrid w:val="0"/>
        <w:spacing w:line="600" w:lineRule="exact"/>
        <w:ind w:firstLine="566" w:firstLineChars="177"/>
        <w:textAlignment w:val="auto"/>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（2）政策执行效果：本部门对上级政策的执行力度和效果。执行到位且效果显著。关注政策执行过程中的反馈机制，能及时调整执行策略以更好地实现政策目标。</w:t>
      </w:r>
    </w:p>
    <w:p>
      <w:pPr>
        <w:keepNext w:val="0"/>
        <w:keepLines w:val="0"/>
        <w:pageBreakBefore w:val="0"/>
        <w:widowControl/>
        <w:kinsoku/>
        <w:wordWrap/>
        <w:overflowPunct/>
        <w:topLinePunct w:val="0"/>
        <w:autoSpaceDE/>
        <w:autoSpaceDN/>
        <w:bidi w:val="0"/>
        <w:adjustRightInd w:val="0"/>
        <w:snapToGrid w:val="0"/>
        <w:spacing w:line="600" w:lineRule="exact"/>
        <w:ind w:firstLine="568" w:firstLineChars="177"/>
        <w:textAlignment w:val="auto"/>
        <w:rPr>
          <w:rFonts w:hint="eastAsia" w:ascii="仿宋_GB2312" w:hAnsi="仿宋_GB2312" w:eastAsia="仿宋_GB2312" w:cs="仿宋_GB2312"/>
          <w:b/>
          <w:color w:val="000000"/>
          <w:kern w:val="0"/>
          <w:sz w:val="32"/>
          <w:szCs w:val="32"/>
          <w:shd w:val="clear" w:color="auto" w:fill="FFFFFF"/>
          <w:lang w:val="zh-CN"/>
        </w:rPr>
      </w:pPr>
      <w:r>
        <w:rPr>
          <w:rFonts w:hint="eastAsia" w:ascii="仿宋_GB2312" w:hAnsi="仿宋_GB2312" w:eastAsia="仿宋_GB2312" w:cs="仿宋_GB2312"/>
          <w:b/>
          <w:color w:val="000000"/>
          <w:kern w:val="0"/>
          <w:sz w:val="32"/>
          <w:szCs w:val="32"/>
          <w:shd w:val="clear" w:color="auto" w:fill="FFFFFF"/>
          <w:lang w:val="zh-CN"/>
        </w:rPr>
        <w:t>2.预算管理共25分，自评得24分</w:t>
      </w:r>
    </w:p>
    <w:p>
      <w:pPr>
        <w:keepNext w:val="0"/>
        <w:keepLines w:val="0"/>
        <w:pageBreakBefore w:val="0"/>
        <w:widowControl/>
        <w:kinsoku/>
        <w:wordWrap/>
        <w:overflowPunct/>
        <w:topLinePunct w:val="0"/>
        <w:autoSpaceDE/>
        <w:autoSpaceDN/>
        <w:bidi w:val="0"/>
        <w:adjustRightInd w:val="0"/>
        <w:snapToGrid w:val="0"/>
        <w:spacing w:line="600" w:lineRule="exact"/>
        <w:ind w:firstLine="566" w:firstLineChars="177"/>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color w:val="000000"/>
          <w:kern w:val="0"/>
          <w:sz w:val="32"/>
          <w:szCs w:val="32"/>
          <w:shd w:val="clear" w:color="auto" w:fill="FFFFFF"/>
          <w:lang w:val="zh-CN"/>
        </w:rPr>
        <w:t>（1）预算编制合理性。预算编制依据充分，与部门职能和工作计划的</w:t>
      </w:r>
      <w:r>
        <w:rPr>
          <w:rFonts w:hint="eastAsia" w:ascii="仿宋_GB2312" w:hAnsi="仿宋_GB2312" w:eastAsia="仿宋_GB2312" w:cs="仿宋_GB2312"/>
          <w:bCs/>
          <w:sz w:val="32"/>
          <w:szCs w:val="32"/>
        </w:rPr>
        <w:t>匹配度。预算与实际需求相符、编制依据明确得8分。</w:t>
      </w:r>
    </w:p>
    <w:p>
      <w:pPr>
        <w:keepNext w:val="0"/>
        <w:keepLines w:val="0"/>
        <w:pageBreakBefore w:val="0"/>
        <w:widowControl/>
        <w:kinsoku/>
        <w:wordWrap/>
        <w:overflowPunct/>
        <w:topLinePunct w:val="0"/>
        <w:autoSpaceDE/>
        <w:autoSpaceDN/>
        <w:bidi w:val="0"/>
        <w:adjustRightInd w:val="0"/>
        <w:snapToGrid w:val="0"/>
        <w:spacing w:line="600" w:lineRule="exact"/>
        <w:ind w:firstLine="566" w:firstLineChars="177"/>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预算的准确性，预算与实际支出的偏差较小。</w:t>
      </w:r>
    </w:p>
    <w:p>
      <w:pPr>
        <w:keepNext w:val="0"/>
        <w:keepLines w:val="0"/>
        <w:pageBreakBefore w:val="0"/>
        <w:widowControl/>
        <w:kinsoku/>
        <w:wordWrap/>
        <w:overflowPunct/>
        <w:topLinePunct w:val="0"/>
        <w:autoSpaceDE/>
        <w:autoSpaceDN/>
        <w:bidi w:val="0"/>
        <w:adjustRightInd w:val="0"/>
        <w:snapToGrid w:val="0"/>
        <w:spacing w:line="600" w:lineRule="exact"/>
        <w:ind w:firstLine="566" w:firstLineChars="177"/>
        <w:textAlignment w:val="auto"/>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bCs/>
          <w:sz w:val="32"/>
          <w:szCs w:val="32"/>
        </w:rPr>
        <w:t>（2</w:t>
      </w:r>
      <w:r>
        <w:rPr>
          <w:rFonts w:hint="eastAsia" w:ascii="仿宋_GB2312" w:hAnsi="仿宋_GB2312" w:eastAsia="仿宋_GB2312" w:cs="仿宋_GB2312"/>
          <w:color w:val="000000"/>
          <w:kern w:val="0"/>
          <w:sz w:val="32"/>
          <w:szCs w:val="32"/>
          <w:shd w:val="clear" w:color="auto" w:fill="FFFFFF"/>
          <w:lang w:val="zh-CN"/>
        </w:rPr>
        <w:t>）预算执行进度。预算执行的时间进度，确保资金按计划使用。执行进度与时间进度相符或提前完成得6分。不存在预算调整频繁或不合理的情况，调整次数少且理由充分。</w:t>
      </w:r>
    </w:p>
    <w:p>
      <w:pPr>
        <w:keepNext w:val="0"/>
        <w:keepLines w:val="0"/>
        <w:pageBreakBefore w:val="0"/>
        <w:widowControl/>
        <w:kinsoku/>
        <w:wordWrap/>
        <w:overflowPunct/>
        <w:topLinePunct w:val="0"/>
        <w:autoSpaceDE/>
        <w:autoSpaceDN/>
        <w:bidi w:val="0"/>
        <w:adjustRightInd w:val="0"/>
        <w:snapToGrid w:val="0"/>
        <w:spacing w:line="600" w:lineRule="exact"/>
        <w:ind w:firstLine="566" w:firstLineChars="177"/>
        <w:textAlignment w:val="auto"/>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（3）严控一般性支出。严格控制“三公”经费、会议、培训、差旅、办节办展、办公设备购置、信息网络及软件购置更新、课题经费等8项一般性支出情况。压减了各项开支，成绩显著得5分。</w:t>
      </w:r>
    </w:p>
    <w:p>
      <w:pPr>
        <w:keepNext w:val="0"/>
        <w:keepLines w:val="0"/>
        <w:pageBreakBefore w:val="0"/>
        <w:widowControl/>
        <w:kinsoku/>
        <w:wordWrap/>
        <w:overflowPunct/>
        <w:topLinePunct w:val="0"/>
        <w:autoSpaceDE/>
        <w:autoSpaceDN/>
        <w:bidi w:val="0"/>
        <w:adjustRightInd w:val="0"/>
        <w:snapToGrid w:val="0"/>
        <w:spacing w:line="600" w:lineRule="exact"/>
        <w:ind w:firstLine="566" w:firstLineChars="177"/>
        <w:textAlignment w:val="auto"/>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（4）预算年终结余情况。本部门因单位8月底改制，预算资金年底结余15.75万元得1分。</w:t>
      </w:r>
    </w:p>
    <w:p>
      <w:pPr>
        <w:keepNext w:val="0"/>
        <w:keepLines w:val="0"/>
        <w:pageBreakBefore w:val="0"/>
        <w:widowControl/>
        <w:kinsoku/>
        <w:wordWrap/>
        <w:overflowPunct/>
        <w:topLinePunct w:val="0"/>
        <w:autoSpaceDE/>
        <w:autoSpaceDN/>
        <w:bidi w:val="0"/>
        <w:adjustRightInd w:val="0"/>
        <w:snapToGrid w:val="0"/>
        <w:spacing w:line="600" w:lineRule="exact"/>
        <w:ind w:firstLine="566" w:firstLineChars="177"/>
        <w:textAlignment w:val="auto"/>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（5）单位收入统筹。本部门积极统筹自有收入，管理规范，成效显著得4分。</w:t>
      </w:r>
    </w:p>
    <w:p>
      <w:pPr>
        <w:keepNext w:val="0"/>
        <w:keepLines w:val="0"/>
        <w:pageBreakBefore w:val="0"/>
        <w:widowControl/>
        <w:kinsoku/>
        <w:wordWrap/>
        <w:overflowPunct/>
        <w:topLinePunct w:val="0"/>
        <w:autoSpaceDE/>
        <w:autoSpaceDN/>
        <w:bidi w:val="0"/>
        <w:adjustRightInd w:val="0"/>
        <w:snapToGrid w:val="0"/>
        <w:spacing w:line="600" w:lineRule="exact"/>
        <w:ind w:firstLine="568" w:firstLineChars="177"/>
        <w:textAlignment w:val="auto"/>
        <w:rPr>
          <w:rFonts w:hint="eastAsia" w:ascii="仿宋_GB2312" w:hAnsi="仿宋_GB2312" w:eastAsia="仿宋_GB2312" w:cs="仿宋_GB2312"/>
          <w:b/>
          <w:color w:val="000000"/>
          <w:kern w:val="0"/>
          <w:sz w:val="32"/>
          <w:szCs w:val="32"/>
          <w:shd w:val="clear" w:color="auto" w:fill="FFFFFF"/>
          <w:lang w:val="zh-CN"/>
        </w:rPr>
      </w:pPr>
      <w:r>
        <w:rPr>
          <w:rFonts w:hint="eastAsia" w:ascii="仿宋_GB2312" w:hAnsi="仿宋_GB2312" w:eastAsia="仿宋_GB2312" w:cs="仿宋_GB2312"/>
          <w:b/>
          <w:color w:val="000000"/>
          <w:kern w:val="0"/>
          <w:sz w:val="32"/>
          <w:szCs w:val="32"/>
          <w:shd w:val="clear" w:color="auto" w:fill="FFFFFF"/>
          <w:lang w:val="zh-CN"/>
        </w:rPr>
        <w:t>3.财务管理共10分，自评得9分</w:t>
      </w:r>
    </w:p>
    <w:p>
      <w:pPr>
        <w:keepNext w:val="0"/>
        <w:keepLines w:val="0"/>
        <w:pageBreakBefore w:val="0"/>
        <w:widowControl/>
        <w:kinsoku/>
        <w:wordWrap/>
        <w:overflowPunct/>
        <w:topLinePunct w:val="0"/>
        <w:autoSpaceDE/>
        <w:autoSpaceDN/>
        <w:bidi w:val="0"/>
        <w:adjustRightInd w:val="0"/>
        <w:snapToGrid w:val="0"/>
        <w:spacing w:line="600" w:lineRule="exact"/>
        <w:ind w:firstLine="566" w:firstLineChars="177"/>
        <w:textAlignment w:val="auto"/>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（1）财务制度健全性。本部本部门当年不涉及政府采购得3分。部控制制度的有效性，防范财务风险的能力较强。</w:t>
      </w:r>
    </w:p>
    <w:p>
      <w:pPr>
        <w:keepNext w:val="0"/>
        <w:keepLines w:val="0"/>
        <w:pageBreakBefore w:val="0"/>
        <w:widowControl/>
        <w:kinsoku/>
        <w:wordWrap/>
        <w:overflowPunct/>
        <w:topLinePunct w:val="0"/>
        <w:autoSpaceDE/>
        <w:autoSpaceDN/>
        <w:bidi w:val="0"/>
        <w:adjustRightInd w:val="0"/>
        <w:snapToGrid w:val="0"/>
        <w:spacing w:line="600" w:lineRule="exact"/>
        <w:ind w:firstLine="566" w:firstLineChars="177"/>
        <w:textAlignment w:val="auto"/>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（2）财务岗位设置。岗位数量合理，岗位责任明确，岗位权限合规，岗位人员资质匹配得2分。</w:t>
      </w:r>
    </w:p>
    <w:p>
      <w:pPr>
        <w:keepNext w:val="0"/>
        <w:keepLines w:val="0"/>
        <w:pageBreakBefore w:val="0"/>
        <w:widowControl/>
        <w:kinsoku/>
        <w:wordWrap/>
        <w:overflowPunct/>
        <w:topLinePunct w:val="0"/>
        <w:autoSpaceDE/>
        <w:autoSpaceDN/>
        <w:bidi w:val="0"/>
        <w:adjustRightInd w:val="0"/>
        <w:snapToGrid w:val="0"/>
        <w:spacing w:line="600" w:lineRule="exact"/>
        <w:ind w:firstLine="566" w:firstLineChars="177"/>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color w:val="000000"/>
          <w:kern w:val="0"/>
          <w:sz w:val="32"/>
          <w:szCs w:val="32"/>
          <w:shd w:val="clear" w:color="auto" w:fill="FFFFFF"/>
          <w:lang w:val="zh-CN"/>
        </w:rPr>
        <w:t>（3）资金使用合规性。资金使用符合法律法规和财务制度的规定。资金使用的效益性，是否做到节约、高效使用资金，效益好得4分。</w:t>
      </w:r>
    </w:p>
    <w:p>
      <w:pPr>
        <w:keepNext w:val="0"/>
        <w:keepLines w:val="0"/>
        <w:pageBreakBefore w:val="0"/>
        <w:widowControl/>
        <w:kinsoku/>
        <w:wordWrap/>
        <w:overflowPunct/>
        <w:topLinePunct w:val="0"/>
        <w:autoSpaceDE/>
        <w:autoSpaceDN/>
        <w:bidi w:val="0"/>
        <w:adjustRightInd w:val="0"/>
        <w:snapToGrid w:val="0"/>
        <w:spacing w:line="600" w:lineRule="exact"/>
        <w:ind w:firstLine="568" w:firstLineChars="177"/>
        <w:textAlignment w:val="auto"/>
        <w:rPr>
          <w:rFonts w:hint="eastAsia" w:ascii="仿宋_GB2312" w:hAnsi="仿宋_GB2312" w:eastAsia="仿宋_GB2312" w:cs="仿宋_GB2312"/>
          <w:b/>
          <w:color w:val="000000"/>
          <w:kern w:val="0"/>
          <w:sz w:val="32"/>
          <w:szCs w:val="32"/>
          <w:shd w:val="clear" w:color="auto" w:fill="FFFFFF"/>
          <w:lang w:val="zh-CN"/>
        </w:rPr>
      </w:pPr>
      <w:r>
        <w:rPr>
          <w:rFonts w:hint="eastAsia" w:ascii="仿宋_GB2312" w:hAnsi="仿宋_GB2312" w:eastAsia="仿宋_GB2312" w:cs="仿宋_GB2312"/>
          <w:b/>
          <w:color w:val="000000"/>
          <w:kern w:val="0"/>
          <w:sz w:val="32"/>
          <w:szCs w:val="32"/>
          <w:shd w:val="clear" w:color="auto" w:fill="FFFFFF"/>
          <w:lang w:val="zh-CN"/>
        </w:rPr>
        <w:t>4.资产管理共9分，自评得9分</w:t>
      </w:r>
    </w:p>
    <w:p>
      <w:pPr>
        <w:keepNext w:val="0"/>
        <w:keepLines w:val="0"/>
        <w:pageBreakBefore w:val="0"/>
        <w:widowControl/>
        <w:kinsoku/>
        <w:wordWrap/>
        <w:overflowPunct/>
        <w:topLinePunct w:val="0"/>
        <w:autoSpaceDE/>
        <w:autoSpaceDN/>
        <w:bidi w:val="0"/>
        <w:adjustRightInd w:val="0"/>
        <w:snapToGrid w:val="0"/>
        <w:spacing w:line="600" w:lineRule="exact"/>
        <w:ind w:firstLine="566" w:firstLineChars="177"/>
        <w:textAlignment w:val="auto"/>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（1）人均资产变化率。本部门资产管理制度健全，包括资产购置、使用、处置等环节。制度完善且执行到位得3分。</w:t>
      </w:r>
    </w:p>
    <w:p>
      <w:pPr>
        <w:keepNext w:val="0"/>
        <w:keepLines w:val="0"/>
        <w:pageBreakBefore w:val="0"/>
        <w:widowControl/>
        <w:kinsoku/>
        <w:wordWrap/>
        <w:overflowPunct/>
        <w:topLinePunct w:val="0"/>
        <w:autoSpaceDE/>
        <w:autoSpaceDN/>
        <w:bidi w:val="0"/>
        <w:adjustRightInd w:val="0"/>
        <w:snapToGrid w:val="0"/>
        <w:spacing w:line="600" w:lineRule="exact"/>
        <w:ind w:firstLine="566" w:firstLineChars="177"/>
        <w:textAlignment w:val="auto"/>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（2）资产利用率。本部门资产配置是符合部门工作需要和节约原则。配置合理、不浪费资源得3分。</w:t>
      </w:r>
    </w:p>
    <w:p>
      <w:pPr>
        <w:keepNext w:val="0"/>
        <w:keepLines w:val="0"/>
        <w:pageBreakBefore w:val="0"/>
        <w:widowControl/>
        <w:kinsoku/>
        <w:wordWrap/>
        <w:overflowPunct/>
        <w:topLinePunct w:val="0"/>
        <w:autoSpaceDE/>
        <w:autoSpaceDN/>
        <w:bidi w:val="0"/>
        <w:adjustRightInd w:val="0"/>
        <w:snapToGrid w:val="0"/>
        <w:spacing w:line="600" w:lineRule="exact"/>
        <w:ind w:firstLine="566" w:firstLineChars="177"/>
        <w:textAlignment w:val="auto"/>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关注资产的共享和调剂使用情况，提高资产使用效率得3分。</w:t>
      </w:r>
    </w:p>
    <w:p>
      <w:pPr>
        <w:keepNext w:val="0"/>
        <w:keepLines w:val="0"/>
        <w:pageBreakBefore w:val="0"/>
        <w:widowControl/>
        <w:kinsoku/>
        <w:wordWrap/>
        <w:overflowPunct/>
        <w:topLinePunct w:val="0"/>
        <w:autoSpaceDE/>
        <w:autoSpaceDN/>
        <w:bidi w:val="0"/>
        <w:adjustRightInd w:val="0"/>
        <w:snapToGrid w:val="0"/>
        <w:spacing w:line="600" w:lineRule="exact"/>
        <w:ind w:firstLine="566" w:firstLineChars="177"/>
        <w:textAlignment w:val="auto"/>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（3）资产盘活率情况。资产的使用状况和维护情况，确保资产正常运行。资产使用效率高、维护良好得3分。</w:t>
      </w:r>
    </w:p>
    <w:p>
      <w:pPr>
        <w:keepNext w:val="0"/>
        <w:keepLines w:val="0"/>
        <w:pageBreakBefore w:val="0"/>
        <w:widowControl/>
        <w:kinsoku/>
        <w:wordWrap/>
        <w:overflowPunct/>
        <w:topLinePunct w:val="0"/>
        <w:autoSpaceDE/>
        <w:autoSpaceDN/>
        <w:bidi w:val="0"/>
        <w:adjustRightInd w:val="0"/>
        <w:snapToGrid w:val="0"/>
        <w:spacing w:line="600" w:lineRule="exact"/>
        <w:ind w:firstLine="568" w:firstLineChars="177"/>
        <w:textAlignment w:val="auto"/>
        <w:rPr>
          <w:rFonts w:hint="eastAsia" w:ascii="仿宋_GB2312" w:hAnsi="仿宋_GB2312" w:eastAsia="仿宋_GB2312" w:cs="仿宋_GB2312"/>
          <w:b/>
          <w:color w:val="000000"/>
          <w:kern w:val="0"/>
          <w:sz w:val="32"/>
          <w:szCs w:val="32"/>
          <w:shd w:val="clear" w:color="auto" w:fill="FFFFFF"/>
          <w:lang w:val="zh-CN"/>
        </w:rPr>
      </w:pPr>
      <w:r>
        <w:rPr>
          <w:rFonts w:hint="eastAsia" w:ascii="仿宋_GB2312" w:hAnsi="仿宋_GB2312" w:eastAsia="仿宋_GB2312" w:cs="仿宋_GB2312"/>
          <w:b/>
          <w:color w:val="000000"/>
          <w:kern w:val="0"/>
          <w:sz w:val="32"/>
          <w:szCs w:val="32"/>
          <w:shd w:val="clear" w:color="auto" w:fill="FFFFFF"/>
          <w:lang w:val="zh-CN"/>
        </w:rPr>
        <w:t>5.采购管理共6分，自评得6分</w:t>
      </w:r>
    </w:p>
    <w:p>
      <w:pPr>
        <w:keepNext w:val="0"/>
        <w:keepLines w:val="0"/>
        <w:pageBreakBefore w:val="0"/>
        <w:widowControl/>
        <w:kinsoku/>
        <w:wordWrap/>
        <w:overflowPunct/>
        <w:topLinePunct w:val="0"/>
        <w:autoSpaceDE/>
        <w:autoSpaceDN/>
        <w:bidi w:val="0"/>
        <w:adjustRightInd w:val="0"/>
        <w:snapToGrid w:val="0"/>
        <w:spacing w:line="600" w:lineRule="exact"/>
        <w:ind w:firstLine="566" w:firstLineChars="177"/>
        <w:textAlignment w:val="auto"/>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（1）支持中小企业发展。</w:t>
      </w:r>
      <w:bookmarkStart w:id="80" w:name="OLE_LINK2"/>
      <w:r>
        <w:rPr>
          <w:rFonts w:hint="eastAsia" w:ascii="仿宋_GB2312" w:hAnsi="仿宋_GB2312" w:eastAsia="仿宋_GB2312" w:cs="仿宋_GB2312"/>
          <w:color w:val="000000"/>
          <w:kern w:val="0"/>
          <w:sz w:val="32"/>
          <w:szCs w:val="32"/>
          <w:shd w:val="clear" w:color="auto" w:fill="FFFFFF"/>
          <w:lang w:val="zh-CN"/>
        </w:rPr>
        <w:t>本部门当年不涉及政府采购得3分。</w:t>
      </w:r>
      <w:bookmarkEnd w:id="80"/>
    </w:p>
    <w:p>
      <w:pPr>
        <w:keepNext w:val="0"/>
        <w:keepLines w:val="0"/>
        <w:pageBreakBefore w:val="0"/>
        <w:widowControl/>
        <w:kinsoku/>
        <w:wordWrap/>
        <w:overflowPunct/>
        <w:topLinePunct w:val="0"/>
        <w:autoSpaceDE/>
        <w:autoSpaceDN/>
        <w:bidi w:val="0"/>
        <w:adjustRightInd w:val="0"/>
        <w:snapToGrid w:val="0"/>
        <w:spacing w:line="600" w:lineRule="exact"/>
        <w:ind w:firstLine="566" w:firstLineChars="177"/>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color w:val="000000"/>
          <w:kern w:val="0"/>
          <w:sz w:val="32"/>
          <w:szCs w:val="32"/>
          <w:shd w:val="clear" w:color="auto" w:fill="FFFFFF"/>
          <w:lang w:val="zh-CN"/>
        </w:rPr>
        <w:t>（2）采购执行率。本部门当年不涉及政府采购得3分。</w:t>
      </w:r>
    </w:p>
    <w:p>
      <w:pPr>
        <w:keepNext w:val="0"/>
        <w:keepLines w:val="0"/>
        <w:pageBreakBefore w:val="0"/>
        <w:widowControl/>
        <w:kinsoku/>
        <w:wordWrap/>
        <w:overflowPunct/>
        <w:topLinePunct w:val="0"/>
        <w:autoSpaceDE/>
        <w:autoSpaceDN/>
        <w:bidi w:val="0"/>
        <w:adjustRightInd w:val="0"/>
        <w:snapToGrid w:val="0"/>
        <w:spacing w:line="600" w:lineRule="exact"/>
        <w:ind w:firstLine="566" w:firstLineChars="177"/>
        <w:textAlignment w:val="auto"/>
        <w:rPr>
          <w:rFonts w:ascii="仿宋_GB2312" w:hAnsi="仿宋_GB2312" w:cs="仿宋_GB2312"/>
          <w:sz w:val="32"/>
          <w:szCs w:val="32"/>
        </w:rPr>
      </w:pPr>
      <w:r>
        <w:rPr>
          <w:rFonts w:eastAsia="楷体_GB2312"/>
          <w:color w:val="000000"/>
          <w:kern w:val="0"/>
          <w:sz w:val="32"/>
          <w:szCs w:val="32"/>
          <w:shd w:val="clear" w:color="auto" w:fill="FFFFFF"/>
          <w:lang w:val="zh-CN"/>
        </w:rPr>
        <w:t>（二）部门预算项目绩效分析</w:t>
      </w:r>
    </w:p>
    <w:p>
      <w:pPr>
        <w:keepNext w:val="0"/>
        <w:keepLines w:val="0"/>
        <w:pageBreakBefore w:val="0"/>
        <w:kinsoku/>
        <w:wordWrap/>
        <w:overflowPunct/>
        <w:topLinePunct w:val="0"/>
        <w:autoSpaceDE/>
        <w:autoSpaceDN/>
        <w:bidi w:val="0"/>
        <w:spacing w:line="600" w:lineRule="exact"/>
        <w:ind w:left="210" w:leftChars="100" w:firstLine="321" w:firstLineChars="1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1.项目决策12分</w:t>
      </w:r>
      <w:r>
        <w:rPr>
          <w:rFonts w:hint="eastAsia" w:ascii="仿宋_GB2312" w:hAnsi="仿宋_GB2312" w:eastAsia="仿宋_GB2312" w:cs="仿宋_GB2312"/>
          <w:b/>
          <w:bCs/>
          <w:sz w:val="32"/>
          <w:szCs w:val="32"/>
        </w:rPr>
        <w:t>，自评得11分</w:t>
      </w:r>
    </w:p>
    <w:p>
      <w:pPr>
        <w:keepNext w:val="0"/>
        <w:keepLines w:val="0"/>
        <w:pageBreakBefore w:val="0"/>
        <w:kinsoku/>
        <w:wordWrap/>
        <w:overflowPunct/>
        <w:topLinePunct w:val="0"/>
        <w:autoSpaceDE/>
        <w:autoSpaceDN/>
        <w:bidi w:val="0"/>
        <w:spacing w:line="600" w:lineRule="exact"/>
        <w:ind w:firstLine="566" w:firstLineChars="177"/>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（1）决策程序得3分</w:t>
      </w:r>
    </w:p>
    <w:p>
      <w:pPr>
        <w:keepNext w:val="0"/>
        <w:keepLines w:val="0"/>
        <w:pageBreakBefore w:val="0"/>
        <w:kinsoku/>
        <w:wordWrap/>
        <w:overflowPunct/>
        <w:topLinePunct w:val="0"/>
        <w:autoSpaceDE/>
        <w:autoSpaceDN/>
        <w:bidi w:val="0"/>
        <w:spacing w:line="600" w:lineRule="exact"/>
        <w:ind w:firstLine="566" w:firstLineChars="177"/>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合规性：决策程序符合相关法律法规、政策文件以及单位内部的规章制度。确保项目从立项到审批的各个环节都有法可依、有章可循。决策过程中的文件记录完整。</w:t>
      </w:r>
    </w:p>
    <w:p>
      <w:pPr>
        <w:keepNext w:val="0"/>
        <w:keepLines w:val="0"/>
        <w:pageBreakBefore w:val="0"/>
        <w:kinsoku/>
        <w:wordWrap/>
        <w:overflowPunct/>
        <w:topLinePunct w:val="0"/>
        <w:autoSpaceDE/>
        <w:autoSpaceDN/>
        <w:bidi w:val="0"/>
        <w:spacing w:line="600" w:lineRule="exact"/>
        <w:ind w:firstLine="566" w:firstLineChars="177"/>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民主性：评估决策过程中征求了相关部门、利益相关者意见。提高了项目的可行性和可持续性，减少决策风险</w:t>
      </w:r>
      <w:bookmarkStart w:id="81" w:name="OLE_LINK1"/>
      <w:r>
        <w:rPr>
          <w:rFonts w:hint="eastAsia" w:ascii="仿宋_GB2312" w:hAnsi="仿宋_GB2312" w:eastAsia="仿宋_GB2312" w:cs="仿宋_GB2312"/>
          <w:bCs/>
          <w:sz w:val="32"/>
          <w:szCs w:val="32"/>
        </w:rPr>
        <w:t>。</w:t>
      </w:r>
      <w:bookmarkEnd w:id="81"/>
    </w:p>
    <w:p>
      <w:pPr>
        <w:keepNext w:val="0"/>
        <w:keepLines w:val="0"/>
        <w:pageBreakBefore w:val="0"/>
        <w:kinsoku/>
        <w:wordWrap/>
        <w:overflowPunct/>
        <w:topLinePunct w:val="0"/>
        <w:autoSpaceDE/>
        <w:autoSpaceDN/>
        <w:bidi w:val="0"/>
        <w:spacing w:line="600" w:lineRule="exact"/>
        <w:ind w:firstLine="566" w:firstLineChars="177"/>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科学性：决策过程中采用了成本效益分析、风险评估等科学的方法。科学决策可以提高项目的经济效益和社会效益。</w:t>
      </w:r>
    </w:p>
    <w:p>
      <w:pPr>
        <w:keepNext w:val="0"/>
        <w:keepLines w:val="0"/>
        <w:pageBreakBefore w:val="0"/>
        <w:kinsoku/>
        <w:wordWrap/>
        <w:overflowPunct/>
        <w:topLinePunct w:val="0"/>
        <w:autoSpaceDE/>
        <w:autoSpaceDN/>
        <w:bidi w:val="0"/>
        <w:spacing w:line="600" w:lineRule="exact"/>
        <w:ind w:firstLine="566" w:firstLineChars="177"/>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t>（2）目标设置</w:t>
      </w:r>
      <w:r>
        <w:rPr>
          <w:rFonts w:hint="eastAsia" w:ascii="仿宋_GB2312" w:hAnsi="仿宋_GB2312" w:eastAsia="仿宋_GB2312" w:cs="仿宋_GB2312"/>
          <w:sz w:val="32"/>
          <w:szCs w:val="32"/>
        </w:rPr>
        <w:t>得4分</w:t>
      </w:r>
    </w:p>
    <w:p>
      <w:pPr>
        <w:keepNext w:val="0"/>
        <w:keepLines w:val="0"/>
        <w:pageBreakBefore w:val="0"/>
        <w:kinsoku/>
        <w:wordWrap/>
        <w:overflowPunct/>
        <w:topLinePunct w:val="0"/>
        <w:autoSpaceDE/>
        <w:autoSpaceDN/>
        <w:bidi w:val="0"/>
        <w:spacing w:line="600" w:lineRule="exact"/>
        <w:ind w:firstLine="566" w:firstLineChars="177"/>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明确性：项目目标具体、清晰、可衡量。为项目执行提供明确的方向，便于绩效评估和监督。</w:t>
      </w:r>
    </w:p>
    <w:p>
      <w:pPr>
        <w:keepNext w:val="0"/>
        <w:keepLines w:val="0"/>
        <w:pageBreakBefore w:val="0"/>
        <w:kinsoku/>
        <w:wordWrap/>
        <w:overflowPunct/>
        <w:topLinePunct w:val="0"/>
        <w:autoSpaceDE/>
        <w:autoSpaceDN/>
        <w:bidi w:val="0"/>
        <w:spacing w:line="600" w:lineRule="exact"/>
        <w:ind w:firstLine="566" w:firstLineChars="177"/>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合理性：项目符合实际情况和发展需求，充分发挥项目的效益。项目与单位的整体发展方向一致，避免了相互冲突或重复。</w:t>
      </w:r>
    </w:p>
    <w:p>
      <w:pPr>
        <w:keepNext w:val="0"/>
        <w:keepLines w:val="0"/>
        <w:pageBreakBefore w:val="0"/>
        <w:kinsoku/>
        <w:wordWrap/>
        <w:overflowPunct/>
        <w:topLinePunct w:val="0"/>
        <w:autoSpaceDE/>
        <w:autoSpaceDN/>
        <w:bidi w:val="0"/>
        <w:spacing w:line="600" w:lineRule="exact"/>
        <w:ind w:firstLine="566" w:firstLineChars="177"/>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（3）项目入库得4分</w:t>
      </w:r>
    </w:p>
    <w:p>
      <w:pPr>
        <w:keepNext w:val="0"/>
        <w:keepLines w:val="0"/>
        <w:pageBreakBefore w:val="0"/>
        <w:kinsoku/>
        <w:wordWrap/>
        <w:overflowPunct/>
        <w:topLinePunct w:val="0"/>
        <w:autoSpaceDE/>
        <w:autoSpaceDN/>
        <w:bidi w:val="0"/>
        <w:spacing w:line="600" w:lineRule="exact"/>
        <w:ind w:firstLine="566" w:firstLineChars="177"/>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入库标准：项目入库的标准明确、合理。入库标准与决策程序和目标设计相衔接，入库的项目符合单位的发展需求和绩效要求。入库流程：项目入库的流程规范、高效。包括项目申报、审核、入库等环节，并及时入库。</w:t>
      </w:r>
    </w:p>
    <w:p>
      <w:pPr>
        <w:keepNext w:val="0"/>
        <w:keepLines w:val="0"/>
        <w:pageBreakBefore w:val="0"/>
        <w:kinsoku/>
        <w:wordWrap/>
        <w:overflowPunct/>
        <w:topLinePunct w:val="0"/>
        <w:autoSpaceDE/>
        <w:autoSpaceDN/>
        <w:bidi w:val="0"/>
        <w:spacing w:line="600" w:lineRule="exact"/>
        <w:ind w:firstLine="566" w:firstLineChars="177"/>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入库项目质量：入库项目具有较好的质量水平，能够为单位带来实际的效益。</w:t>
      </w:r>
    </w:p>
    <w:p>
      <w:pPr>
        <w:keepNext w:val="0"/>
        <w:keepLines w:val="0"/>
        <w:pageBreakBefore w:val="0"/>
        <w:kinsoku/>
        <w:wordWrap/>
        <w:overflowPunct/>
        <w:topLinePunct w:val="0"/>
        <w:autoSpaceDE/>
        <w:autoSpaceDN/>
        <w:bidi w:val="0"/>
        <w:spacing w:line="600" w:lineRule="exact"/>
        <w:ind w:firstLine="643"/>
        <w:textAlignment w:val="auto"/>
        <w:rPr>
          <w:rFonts w:hint="eastAsia" w:ascii="仿宋_GB2312" w:hAnsi="仿宋_GB2312" w:eastAsia="仿宋_GB2312" w:cs="仿宋_GB2312"/>
          <w:b/>
          <w:sz w:val="32"/>
          <w:szCs w:val="32"/>
          <w:lang w:val="zh-CN"/>
        </w:rPr>
      </w:pPr>
      <w:r>
        <w:rPr>
          <w:rFonts w:hint="eastAsia" w:ascii="仿宋_GB2312" w:hAnsi="仿宋_GB2312" w:eastAsia="仿宋_GB2312" w:cs="仿宋_GB2312"/>
          <w:b/>
          <w:sz w:val="32"/>
          <w:szCs w:val="32"/>
        </w:rPr>
        <w:t>2.项目执行12分</w:t>
      </w:r>
      <w:r>
        <w:rPr>
          <w:rFonts w:hint="eastAsia" w:ascii="仿宋_GB2312" w:hAnsi="仿宋_GB2312" w:eastAsia="仿宋_GB2312" w:cs="仿宋_GB2312"/>
          <w:b/>
          <w:bCs/>
          <w:sz w:val="32"/>
          <w:szCs w:val="32"/>
        </w:rPr>
        <w:t>，自评得12分</w:t>
      </w:r>
    </w:p>
    <w:p>
      <w:pPr>
        <w:keepNext w:val="0"/>
        <w:keepLines w:val="0"/>
        <w:pageBreakBefore w:val="0"/>
        <w:kinsoku/>
        <w:wordWrap/>
        <w:overflowPunct/>
        <w:topLinePunct w:val="0"/>
        <w:autoSpaceDE/>
        <w:autoSpaceDN/>
        <w:bidi w:val="0"/>
        <w:spacing w:line="600" w:lineRule="exac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（1）执行同向共4分，自评得4分</w:t>
      </w:r>
    </w:p>
    <w:p>
      <w:pPr>
        <w:keepNext w:val="0"/>
        <w:keepLines w:val="0"/>
        <w:pageBreakBefore w:val="0"/>
        <w:kinsoku/>
        <w:wordWrap/>
        <w:overflowPunct/>
        <w:topLinePunct w:val="0"/>
        <w:autoSpaceDE/>
        <w:autoSpaceDN/>
        <w:bidi w:val="0"/>
        <w:spacing w:line="600" w:lineRule="exac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本部门预算项目实际列支内容与绩效目标设置方向相符。</w:t>
      </w:r>
    </w:p>
    <w:p>
      <w:pPr>
        <w:keepNext w:val="0"/>
        <w:keepLines w:val="0"/>
        <w:pageBreakBefore w:val="0"/>
        <w:kinsoku/>
        <w:wordWrap/>
        <w:overflowPunct/>
        <w:topLinePunct w:val="0"/>
        <w:autoSpaceDE/>
        <w:autoSpaceDN/>
        <w:bidi w:val="0"/>
        <w:spacing w:line="600" w:lineRule="exac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（2）项目调整共4分，自评得4分</w:t>
      </w:r>
    </w:p>
    <w:p>
      <w:pPr>
        <w:keepNext w:val="0"/>
        <w:keepLines w:val="0"/>
        <w:pageBreakBefore w:val="0"/>
        <w:kinsoku/>
        <w:wordWrap/>
        <w:overflowPunct/>
        <w:topLinePunct w:val="0"/>
        <w:autoSpaceDE/>
        <w:autoSpaceDN/>
        <w:bidi w:val="0"/>
        <w:spacing w:line="600" w:lineRule="exac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根据预算项目执行过程中，根据项目实际需求和市场变化，采取了合理调整，经过严格的审批程序，符合相关规定。</w:t>
      </w:r>
    </w:p>
    <w:p>
      <w:pPr>
        <w:keepNext w:val="0"/>
        <w:keepLines w:val="0"/>
        <w:pageBreakBefore w:val="0"/>
        <w:kinsoku/>
        <w:wordWrap/>
        <w:overflowPunct/>
        <w:topLinePunct w:val="0"/>
        <w:autoSpaceDE/>
        <w:autoSpaceDN/>
        <w:bidi w:val="0"/>
        <w:spacing w:line="600" w:lineRule="exac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（3）执行结果共4分，自评得4分</w:t>
      </w:r>
    </w:p>
    <w:p>
      <w:pPr>
        <w:keepNext w:val="0"/>
        <w:keepLines w:val="0"/>
        <w:pageBreakBefore w:val="0"/>
        <w:kinsoku/>
        <w:wordWrap/>
        <w:overflowPunct/>
        <w:topLinePunct w:val="0"/>
        <w:autoSpaceDE/>
        <w:autoSpaceDN/>
        <w:bidi w:val="0"/>
        <w:spacing w:line="600" w:lineRule="exac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基本完成部门预算项目预算执行情况。</w:t>
      </w:r>
    </w:p>
    <w:p>
      <w:pPr>
        <w:keepNext w:val="0"/>
        <w:keepLines w:val="0"/>
        <w:pageBreakBefore w:val="0"/>
        <w:kinsoku/>
        <w:wordWrap/>
        <w:overflowPunct/>
        <w:topLinePunct w:val="0"/>
        <w:autoSpaceDE/>
        <w:autoSpaceDN/>
        <w:bidi w:val="0"/>
        <w:spacing w:line="600" w:lineRule="exact"/>
        <w:ind w:firstLine="643"/>
        <w:textAlignment w:val="auto"/>
        <w:rPr>
          <w:rFonts w:hint="eastAsia" w:ascii="仿宋_GB2312" w:hAnsi="仿宋_GB2312" w:eastAsia="仿宋_GB2312" w:cs="仿宋_GB2312"/>
          <w:b/>
          <w:sz w:val="32"/>
          <w:szCs w:val="32"/>
          <w:lang w:val="zh-CN"/>
        </w:rPr>
      </w:pPr>
      <w:r>
        <w:rPr>
          <w:rFonts w:hint="eastAsia" w:ascii="仿宋_GB2312" w:hAnsi="仿宋_GB2312" w:eastAsia="仿宋_GB2312" w:cs="仿宋_GB2312"/>
          <w:b/>
          <w:sz w:val="32"/>
          <w:szCs w:val="32"/>
        </w:rPr>
        <w:t>3.</w:t>
      </w:r>
      <w:r>
        <w:rPr>
          <w:rFonts w:hint="eastAsia" w:ascii="仿宋_GB2312" w:hAnsi="仿宋_GB2312" w:eastAsia="仿宋_GB2312" w:cs="仿宋_GB2312"/>
          <w:b/>
          <w:sz w:val="32"/>
          <w:szCs w:val="32"/>
          <w:lang w:val="zh-CN"/>
        </w:rPr>
        <w:t>目标实现11分</w:t>
      </w:r>
      <w:r>
        <w:rPr>
          <w:rFonts w:hint="eastAsia" w:ascii="仿宋_GB2312" w:hAnsi="仿宋_GB2312" w:eastAsia="仿宋_GB2312" w:cs="仿宋_GB2312"/>
          <w:b/>
          <w:bCs/>
          <w:sz w:val="32"/>
          <w:szCs w:val="32"/>
        </w:rPr>
        <w:t>，自评得11分</w:t>
      </w:r>
    </w:p>
    <w:p>
      <w:pPr>
        <w:keepNext w:val="0"/>
        <w:keepLines w:val="0"/>
        <w:pageBreakBefore w:val="0"/>
        <w:kinsoku/>
        <w:wordWrap/>
        <w:overflowPunct/>
        <w:topLinePunct w:val="0"/>
        <w:autoSpaceDE/>
        <w:autoSpaceDN/>
        <w:bidi w:val="0"/>
        <w:spacing w:line="600" w:lineRule="exac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（1）目标完成共4分，自评得4分</w:t>
      </w:r>
    </w:p>
    <w:p>
      <w:pPr>
        <w:keepNext w:val="0"/>
        <w:keepLines w:val="0"/>
        <w:pageBreakBefore w:val="0"/>
        <w:kinsoku/>
        <w:wordWrap/>
        <w:overflowPunct/>
        <w:topLinePunct w:val="0"/>
        <w:autoSpaceDE/>
        <w:autoSpaceDN/>
        <w:bidi w:val="0"/>
        <w:spacing w:line="60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zh-CN"/>
        </w:rPr>
        <w:t>一是全年完成非税收入共计</w:t>
      </w:r>
      <w:bookmarkStart w:id="82" w:name="OLE_LINK3"/>
      <w:r>
        <w:rPr>
          <w:rFonts w:hint="eastAsia" w:ascii="仿宋_GB2312" w:hAnsi="仿宋_GB2312" w:eastAsia="仿宋_GB2312" w:cs="仿宋_GB2312"/>
          <w:sz w:val="32"/>
          <w:szCs w:val="32"/>
          <w:lang w:val="zh-CN"/>
        </w:rPr>
        <w:t>395.42</w:t>
      </w:r>
      <w:bookmarkEnd w:id="82"/>
      <w:r>
        <w:rPr>
          <w:rFonts w:hint="eastAsia" w:ascii="仿宋_GB2312" w:hAnsi="仿宋_GB2312" w:eastAsia="仿宋_GB2312" w:cs="仿宋_GB2312"/>
          <w:sz w:val="32"/>
          <w:szCs w:val="32"/>
          <w:lang w:val="zh-CN"/>
        </w:rPr>
        <w:t>万元（其中：驾驶员培训收入231.98万元，短期培训收入64.46万元，租赁收入96.30万元，其他收入2.68万元），完成度59.91%；二是全年完成驾驶培训732人，完成度86%；三是全年完成职业培训1742人（其中：道路运输从业资格证培训完成数1614人；内河船舶船员培训完成数128人)，完成度174%；四是组织开展全市道路运输企业主要负责人和安全管理人员年度安全培训5期605人，安全考核3批6场次合格125人，完成度146%。五是驻村开展走访察村情。为了</w:t>
      </w:r>
      <w:r>
        <w:rPr>
          <w:rFonts w:hint="eastAsia" w:ascii="仿宋_GB2312" w:hAnsi="仿宋_GB2312" w:eastAsia="仿宋_GB2312" w:cs="仿宋_GB2312"/>
          <w:sz w:val="32"/>
          <w:szCs w:val="32"/>
        </w:rPr>
        <w:t>了解村内情况，认真做好调研工作，积极与群众进行交流沟通，了解社情民意，同时多次召开村组干部座谈会，深入细致了解村情村况。结合本村实际，制定了年度工作计划，为工作的开展奠定了良好基础。六是认真落实党的“三会一课”制度，加强对党员的教育，提高党员意识，增进党员团结，充分发挥基层党组织的战斗堡垒作用。扎实开展党史学习教育，使党员党性得到锤炼，思想觉悟明显提高，为民服务意识显著增强。七是加强领导班子建设，促进班子团结，使班子凝聚力、战斗力进一步增强。七是本部门帮扶资金1.2万元用于村集体鱼苗购买、投放，发展壮大村集体经济。八是按照县乡要求，扎实开展“户户到”走访工作，听取群众心声，征求意见建议，讲解政策规定，消除群众误会，化解干群矛盾，使群众满意得到较大提升。</w:t>
      </w:r>
    </w:p>
    <w:p>
      <w:pPr>
        <w:keepNext w:val="0"/>
        <w:keepLines w:val="0"/>
        <w:pageBreakBefore w:val="0"/>
        <w:kinsoku/>
        <w:wordWrap/>
        <w:overflowPunct/>
        <w:topLinePunct w:val="0"/>
        <w:autoSpaceDE/>
        <w:autoSpaceDN/>
        <w:bidi w:val="0"/>
        <w:spacing w:line="60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项目总数2个，一是乡村振兴工作经费;二是开展学员技能培训工作经费。共计涉及预算总金额299.50万元，1—6月预算执行总体进度为43%</w:t>
      </w:r>
      <w:bookmarkStart w:id="83" w:name="OLE_LINK4"/>
      <w:r>
        <w:rPr>
          <w:rFonts w:hint="eastAsia" w:ascii="仿宋_GB2312" w:hAnsi="仿宋_GB2312" w:eastAsia="仿宋_GB2312" w:cs="仿宋_GB2312"/>
          <w:sz w:val="32"/>
          <w:szCs w:val="32"/>
        </w:rPr>
        <w:t>；1—12月预算执行总体进度为82.37%</w:t>
      </w:r>
      <w:bookmarkEnd w:id="83"/>
      <w:r>
        <w:rPr>
          <w:rFonts w:hint="eastAsia" w:ascii="仿宋_GB2312" w:hAnsi="仿宋_GB2312" w:eastAsia="仿宋_GB2312" w:cs="仿宋_GB2312"/>
          <w:sz w:val="32"/>
          <w:szCs w:val="32"/>
        </w:rPr>
        <w:t>.（因2023年底下达交通应急专项资金未实施；八月底，本部门涉改，影响了预算执行进度）。其中：预算结余率大于10%的项目共计 0个。</w:t>
      </w:r>
    </w:p>
    <w:p>
      <w:pPr>
        <w:keepNext w:val="0"/>
        <w:keepLines w:val="0"/>
        <w:pageBreakBefore w:val="0"/>
        <w:kinsoku/>
        <w:wordWrap/>
        <w:overflowPunct/>
        <w:topLinePunct w:val="0"/>
        <w:autoSpaceDE/>
        <w:autoSpaceDN/>
        <w:bidi w:val="0"/>
        <w:spacing w:line="60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（2）目标偏离共4分，自评得4分</w:t>
      </w:r>
    </w:p>
    <w:p>
      <w:pPr>
        <w:keepNext w:val="0"/>
        <w:keepLines w:val="0"/>
        <w:pageBreakBefore w:val="0"/>
        <w:kinsoku/>
        <w:wordWrap/>
        <w:overflowPunct/>
        <w:topLinePunct w:val="0"/>
        <w:autoSpaceDE/>
        <w:autoSpaceDN/>
        <w:bidi w:val="0"/>
        <w:spacing w:line="60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本部门绩效目标数量指标偏离小，实现程度符合预期。</w:t>
      </w:r>
    </w:p>
    <w:p>
      <w:pPr>
        <w:keepNext w:val="0"/>
        <w:keepLines w:val="0"/>
        <w:pageBreakBefore w:val="0"/>
        <w:kinsoku/>
        <w:wordWrap/>
        <w:overflowPunct/>
        <w:topLinePunct w:val="0"/>
        <w:autoSpaceDE/>
        <w:autoSpaceDN/>
        <w:bidi w:val="0"/>
        <w:spacing w:line="60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（3）实现效果共3分，自评得3分</w:t>
      </w:r>
    </w:p>
    <w:p>
      <w:pPr>
        <w:keepNext w:val="0"/>
        <w:keepLines w:val="0"/>
        <w:pageBreakBefore w:val="0"/>
        <w:kinsoku/>
        <w:wordWrap/>
        <w:overflowPunct/>
        <w:topLinePunct w:val="0"/>
        <w:autoSpaceDE/>
        <w:autoSpaceDN/>
        <w:bidi w:val="0"/>
        <w:spacing w:line="60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本部门预算项目绩效目标明确，绩效指标实施效果良好，有效提升了资源利用效率，推动了部门发展。</w:t>
      </w:r>
    </w:p>
    <w:p>
      <w:pPr>
        <w:keepNext w:val="0"/>
        <w:keepLines w:val="0"/>
        <w:pageBreakBefore w:val="0"/>
        <w:widowControl/>
        <w:kinsoku/>
        <w:wordWrap/>
        <w:overflowPunct/>
        <w:topLinePunct w:val="0"/>
        <w:autoSpaceDE/>
        <w:autoSpaceDN/>
        <w:bidi w:val="0"/>
        <w:adjustRightInd w:val="0"/>
        <w:snapToGrid w:val="0"/>
        <w:spacing w:line="600" w:lineRule="exact"/>
        <w:ind w:firstLine="320" w:firstLineChars="100"/>
        <w:contextualSpacing/>
        <w:textAlignment w:val="auto"/>
        <w:rPr>
          <w:rFonts w:hint="eastAsia" w:ascii="仿宋_GB2312" w:hAnsi="仿宋_GB2312" w:eastAsia="仿宋_GB2312" w:cs="仿宋_GB2312"/>
          <w:color w:val="000000"/>
          <w:kern w:val="0"/>
          <w:sz w:val="32"/>
          <w:szCs w:val="32"/>
          <w:shd w:val="clear" w:color="auto" w:fill="FFFFFF"/>
        </w:rPr>
      </w:pPr>
      <w:r>
        <w:rPr>
          <w:rFonts w:hint="eastAsia" w:ascii="仿宋_GB2312" w:hAnsi="仿宋_GB2312" w:eastAsia="仿宋_GB2312" w:cs="仿宋_GB2312"/>
          <w:color w:val="000000"/>
          <w:kern w:val="0"/>
          <w:sz w:val="32"/>
          <w:szCs w:val="32"/>
          <w:shd w:val="clear" w:color="auto" w:fill="FFFFFF"/>
          <w:lang w:val="zh-CN"/>
        </w:rPr>
        <w:t>（三）重点领域绩效分析。</w:t>
      </w:r>
      <w:r>
        <w:rPr>
          <w:rFonts w:hint="eastAsia" w:ascii="仿宋_GB2312" w:hAnsi="仿宋_GB2312" w:eastAsia="仿宋_GB2312" w:cs="仿宋_GB2312"/>
          <w:sz w:val="32"/>
          <w:szCs w:val="32"/>
        </w:rPr>
        <w:t>市级部门2023年度未涉及国有资本、行政事业性国有资产、债券资金、政府采购和政府购买服务等重点领域。</w:t>
      </w:r>
    </w:p>
    <w:p>
      <w:pPr>
        <w:keepNext w:val="0"/>
        <w:keepLines w:val="0"/>
        <w:pageBreakBefore w:val="0"/>
        <w:kinsoku/>
        <w:wordWrap/>
        <w:overflowPunct/>
        <w:topLinePunct w:val="0"/>
        <w:autoSpaceDE/>
        <w:autoSpaceDN/>
        <w:bidi w:val="0"/>
        <w:snapToGrid w:val="0"/>
        <w:spacing w:line="600" w:lineRule="exact"/>
        <w:ind w:firstLine="320" w:firstLineChars="1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（四）绩效结果应用情况</w:t>
      </w:r>
    </w:p>
    <w:p>
      <w:pPr>
        <w:keepNext w:val="0"/>
        <w:keepLines w:val="0"/>
        <w:pageBreakBefore w:val="0"/>
        <w:kinsoku/>
        <w:wordWrap/>
        <w:overflowPunct/>
        <w:topLinePunct w:val="0"/>
        <w:autoSpaceDE/>
        <w:autoSpaceDN/>
        <w:bidi w:val="0"/>
        <w:spacing w:line="600" w:lineRule="exact"/>
        <w:ind w:firstLine="643"/>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rPr>
        <w:t>1.</w:t>
      </w:r>
      <w:r>
        <w:rPr>
          <w:rFonts w:hint="eastAsia" w:ascii="仿宋_GB2312" w:hAnsi="仿宋_GB2312" w:eastAsia="仿宋_GB2312" w:cs="仿宋_GB2312"/>
          <w:b/>
          <w:color w:val="000000"/>
          <w:kern w:val="0"/>
          <w:sz w:val="32"/>
          <w:szCs w:val="32"/>
          <w:shd w:val="clear" w:color="auto" w:fill="FFFFFF"/>
          <w:lang w:val="zh-CN"/>
        </w:rPr>
        <w:t>内部应用</w:t>
      </w:r>
      <w:r>
        <w:rPr>
          <w:rFonts w:hint="eastAsia" w:ascii="仿宋_GB2312" w:hAnsi="仿宋_GB2312" w:eastAsia="仿宋_GB2312" w:cs="仿宋_GB2312"/>
          <w:b/>
          <w:sz w:val="32"/>
          <w:szCs w:val="32"/>
        </w:rPr>
        <w:t>情况</w:t>
      </w:r>
      <w:r>
        <w:rPr>
          <w:rFonts w:hint="eastAsia" w:ascii="仿宋_GB2312" w:hAnsi="仿宋_GB2312" w:eastAsia="仿宋_GB2312" w:cs="仿宋_GB2312"/>
          <w:b/>
          <w:color w:val="000000"/>
          <w:kern w:val="0"/>
          <w:sz w:val="32"/>
          <w:szCs w:val="32"/>
          <w:shd w:val="clear" w:color="auto" w:fill="FFFFFF"/>
          <w:lang w:val="zh-CN"/>
        </w:rPr>
        <w:t>：</w:t>
      </w:r>
      <w:r>
        <w:rPr>
          <w:rFonts w:hint="eastAsia" w:ascii="仿宋_GB2312" w:hAnsi="仿宋_GB2312" w:eastAsia="仿宋_GB2312" w:cs="仿宋_GB2312"/>
          <w:sz w:val="32"/>
          <w:szCs w:val="32"/>
        </w:rPr>
        <w:t>部门自评质量、绩效目标等报告按时按质予以完成并及时向社会公布，并针对自评表中查找出的问题，给予针对性的整改。</w:t>
      </w:r>
    </w:p>
    <w:p>
      <w:pPr>
        <w:keepNext w:val="0"/>
        <w:keepLines w:val="0"/>
        <w:pageBreakBefore w:val="0"/>
        <w:kinsoku/>
        <w:wordWrap/>
        <w:overflowPunct/>
        <w:topLinePunct w:val="0"/>
        <w:autoSpaceDE/>
        <w:autoSpaceDN/>
        <w:bidi w:val="0"/>
        <w:spacing w:line="600" w:lineRule="exact"/>
        <w:ind w:firstLine="643"/>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b/>
          <w:color w:val="000000"/>
          <w:kern w:val="0"/>
          <w:sz w:val="32"/>
          <w:szCs w:val="32"/>
          <w:shd w:val="clear" w:color="auto" w:fill="FFFFFF"/>
        </w:rPr>
        <w:t>2.</w:t>
      </w:r>
      <w:r>
        <w:rPr>
          <w:rFonts w:hint="eastAsia" w:ascii="仿宋_GB2312" w:hAnsi="仿宋_GB2312" w:eastAsia="仿宋_GB2312" w:cs="仿宋_GB2312"/>
          <w:b/>
          <w:color w:val="000000"/>
          <w:kern w:val="0"/>
          <w:sz w:val="32"/>
          <w:szCs w:val="32"/>
          <w:shd w:val="clear" w:color="auto" w:fill="FFFFFF"/>
          <w:lang w:val="zh-CN"/>
        </w:rPr>
        <w:t>信息公开情况</w:t>
      </w:r>
      <w:r>
        <w:rPr>
          <w:rFonts w:hint="eastAsia" w:ascii="仿宋_GB2312" w:hAnsi="仿宋_GB2312" w:eastAsia="仿宋_GB2312" w:cs="仿宋_GB2312"/>
          <w:b/>
          <w:color w:val="000000"/>
          <w:kern w:val="0"/>
          <w:sz w:val="32"/>
          <w:szCs w:val="32"/>
          <w:shd w:val="clear" w:color="auto" w:fill="FFFFFF"/>
        </w:rPr>
        <w:t>：</w:t>
      </w:r>
      <w:r>
        <w:rPr>
          <w:rFonts w:hint="eastAsia" w:ascii="仿宋_GB2312" w:hAnsi="仿宋_GB2312" w:eastAsia="仿宋_GB2312" w:cs="仿宋_GB2312"/>
          <w:sz w:val="32"/>
          <w:szCs w:val="32"/>
        </w:rPr>
        <w:t>我部门的各方面信息都遵从公开为原则，按照“统筹规划，资源共享，面向公众，保障安全”的原则，及时、准确、公平的公开本部门的相关信息，让大众了解本单位的相关情况。</w:t>
      </w:r>
    </w:p>
    <w:p>
      <w:pPr>
        <w:keepNext w:val="0"/>
        <w:keepLines w:val="0"/>
        <w:pageBreakBefore w:val="0"/>
        <w:kinsoku/>
        <w:wordWrap/>
        <w:overflowPunct/>
        <w:topLinePunct w:val="0"/>
        <w:autoSpaceDE/>
        <w:autoSpaceDN/>
        <w:bidi w:val="0"/>
        <w:spacing w:line="600" w:lineRule="exact"/>
        <w:ind w:firstLine="643"/>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color w:val="000000"/>
          <w:kern w:val="0"/>
          <w:sz w:val="32"/>
          <w:szCs w:val="32"/>
          <w:shd w:val="clear" w:color="auto" w:fill="FFFFFF"/>
        </w:rPr>
        <w:t>3.</w:t>
      </w:r>
      <w:r>
        <w:rPr>
          <w:rFonts w:hint="eastAsia" w:ascii="仿宋_GB2312" w:hAnsi="仿宋_GB2312" w:eastAsia="仿宋_GB2312" w:cs="仿宋_GB2312"/>
          <w:b/>
          <w:color w:val="000000"/>
          <w:kern w:val="0"/>
          <w:sz w:val="32"/>
          <w:szCs w:val="32"/>
          <w:shd w:val="clear" w:color="auto" w:fill="FFFFFF"/>
          <w:lang w:val="zh-CN"/>
        </w:rPr>
        <w:t>整改反馈情况进行分析：</w:t>
      </w:r>
      <w:r>
        <w:rPr>
          <w:rFonts w:hint="eastAsia" w:ascii="仿宋_GB2312" w:hAnsi="仿宋_GB2312" w:eastAsia="仿宋_GB2312" w:cs="仿宋_GB2312"/>
          <w:sz w:val="32"/>
          <w:szCs w:val="32"/>
        </w:rPr>
        <w:t>严格按照预算编制的相关制度和要求进行预算编制，全面编制预算项目，优先保障固定性的、相对刚性的费用开支项目，尽量压缩变动性的，有控制空间的费用项目，进一步提高预算编制的科学性，严谨性和可控性。</w:t>
      </w:r>
    </w:p>
    <w:p>
      <w:pPr>
        <w:keepNext w:val="0"/>
        <w:keepLines w:val="0"/>
        <w:pageBreakBefore w:val="0"/>
        <w:kinsoku/>
        <w:wordWrap/>
        <w:overflowPunct/>
        <w:topLinePunct w:val="0"/>
        <w:autoSpaceDE/>
        <w:autoSpaceDN/>
        <w:bidi w:val="0"/>
        <w:spacing w:line="600" w:lineRule="exact"/>
        <w:ind w:firstLine="643"/>
        <w:textAlignment w:val="auto"/>
        <w:outlineLvl w:val="1"/>
        <w:rPr>
          <w:rFonts w:hint="eastAsia" w:ascii="仿宋_GB2312" w:hAnsi="仿宋_GB2312" w:eastAsia="仿宋_GB2312" w:cs="仿宋_GB2312"/>
          <w:color w:val="000000"/>
          <w:kern w:val="0"/>
          <w:sz w:val="32"/>
          <w:szCs w:val="32"/>
          <w:shd w:val="clear" w:color="auto" w:fill="FFFFFF"/>
        </w:rPr>
      </w:pPr>
      <w:bookmarkStart w:id="84" w:name="_Toc8829"/>
      <w:r>
        <w:rPr>
          <w:rFonts w:hint="eastAsia" w:ascii="仿宋_GB2312" w:hAnsi="仿宋_GB2312" w:eastAsia="仿宋_GB2312" w:cs="仿宋_GB2312"/>
          <w:color w:val="000000"/>
          <w:kern w:val="0"/>
          <w:sz w:val="32"/>
          <w:szCs w:val="32"/>
          <w:shd w:val="clear" w:color="auto" w:fill="FFFFFF"/>
        </w:rPr>
        <w:t>四、评价结论及建议</w:t>
      </w:r>
      <w:bookmarkEnd w:id="84"/>
    </w:p>
    <w:p>
      <w:pPr>
        <w:keepNext w:val="0"/>
        <w:keepLines w:val="0"/>
        <w:pageBreakBefore w:val="0"/>
        <w:kinsoku/>
        <w:wordWrap/>
        <w:overflowPunct/>
        <w:topLinePunct w:val="0"/>
        <w:autoSpaceDE/>
        <w:autoSpaceDN/>
        <w:bidi w:val="0"/>
        <w:spacing w:line="600" w:lineRule="exact"/>
        <w:ind w:firstLine="643"/>
        <w:textAlignment w:val="auto"/>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（一）评价结论</w:t>
      </w:r>
    </w:p>
    <w:p>
      <w:pPr>
        <w:keepNext w:val="0"/>
        <w:keepLines w:val="0"/>
        <w:pageBreakBefore w:val="0"/>
        <w:widowControl/>
        <w:kinsoku/>
        <w:wordWrap/>
        <w:overflowPunct/>
        <w:topLinePunct w:val="0"/>
        <w:autoSpaceDE/>
        <w:autoSpaceDN/>
        <w:bidi w:val="0"/>
        <w:adjustRightInd w:val="0"/>
        <w:snapToGrid w:val="0"/>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我校将部门整体支出绩效自评作为财政预算资金使用管理的一项重要工作，切实加强预算收支管理，全面梳理内部管理流程，建立健全内部管理制度，提升部门整体支出管理水平。根据部门整体支出绩效自评指标体系，2023年度自评综合得分为97分，扣3分原因：</w:t>
      </w:r>
    </w:p>
    <w:p>
      <w:pPr>
        <w:keepNext w:val="0"/>
        <w:keepLines w:val="0"/>
        <w:pageBreakBefore w:val="0"/>
        <w:widowControl/>
        <w:kinsoku/>
        <w:wordWrap/>
        <w:overflowPunct/>
        <w:topLinePunct w:val="0"/>
        <w:autoSpaceDE/>
        <w:autoSpaceDN/>
        <w:bidi w:val="0"/>
        <w:adjustRightInd w:val="0"/>
        <w:snapToGrid w:val="0"/>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1.因职业培训市场萎缩，生源减少，培训项目非税收入未完成；</w:t>
      </w:r>
    </w:p>
    <w:p>
      <w:pPr>
        <w:keepNext w:val="0"/>
        <w:keepLines w:val="0"/>
        <w:pageBreakBefore w:val="0"/>
        <w:widowControl/>
        <w:kinsoku/>
        <w:wordWrap/>
        <w:overflowPunct/>
        <w:topLinePunct w:val="0"/>
        <w:autoSpaceDE/>
        <w:autoSpaceDN/>
        <w:bidi w:val="0"/>
        <w:adjustRightInd w:val="0"/>
        <w:snapToGrid w:val="0"/>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2.本单位8月份涉改，无非税收入。</w:t>
      </w:r>
    </w:p>
    <w:p>
      <w:pPr>
        <w:keepNext w:val="0"/>
        <w:keepLines w:val="0"/>
        <w:pageBreakBefore w:val="0"/>
        <w:widowControl/>
        <w:kinsoku/>
        <w:wordWrap/>
        <w:overflowPunct/>
        <w:topLinePunct w:val="0"/>
        <w:autoSpaceDE/>
        <w:autoSpaceDN/>
        <w:bidi w:val="0"/>
        <w:adjustRightInd w:val="0"/>
        <w:snapToGrid w:val="0"/>
        <w:spacing w:line="600" w:lineRule="exact"/>
        <w:ind w:firstLine="800" w:firstLineChars="25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sz w:val="32"/>
          <w:szCs w:val="32"/>
        </w:rPr>
        <w:t>其中：资金预算项目绩效管理指标评价得97分。</w:t>
      </w:r>
    </w:p>
    <w:p>
      <w:pPr>
        <w:keepNext w:val="0"/>
        <w:keepLines w:val="0"/>
        <w:pageBreakBefore w:val="0"/>
        <w:widowControl/>
        <w:kinsoku/>
        <w:wordWrap/>
        <w:overflowPunct/>
        <w:topLinePunct w:val="0"/>
        <w:autoSpaceDE/>
        <w:autoSpaceDN/>
        <w:bidi w:val="0"/>
        <w:adjustRightInd w:val="0"/>
        <w:snapToGrid w:val="0"/>
        <w:spacing w:line="600" w:lineRule="exact"/>
        <w:ind w:firstLine="566" w:firstLineChars="177"/>
        <w:textAlignment w:val="auto"/>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（二）存在问题</w:t>
      </w:r>
    </w:p>
    <w:p>
      <w:pPr>
        <w:keepNext w:val="0"/>
        <w:keepLines w:val="0"/>
        <w:pageBreakBefore w:val="0"/>
        <w:widowControl/>
        <w:kinsoku/>
        <w:wordWrap/>
        <w:overflowPunct/>
        <w:topLinePunct w:val="0"/>
        <w:autoSpaceDE/>
        <w:autoSpaceDN/>
        <w:bidi w:val="0"/>
        <w:adjustRightInd w:val="0"/>
        <w:snapToGrid w:val="0"/>
        <w:spacing w:line="600" w:lineRule="exact"/>
        <w:ind w:firstLine="566" w:firstLineChars="177"/>
        <w:textAlignment w:val="auto"/>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1.预算编制方面：预算与实际需求偏差较大，对新开展项目的成本预估不准确，导致实际执行中资金紧张或闲置。</w:t>
      </w:r>
    </w:p>
    <w:p>
      <w:pPr>
        <w:keepNext w:val="0"/>
        <w:keepLines w:val="0"/>
        <w:pageBreakBefore w:val="0"/>
        <w:widowControl/>
        <w:kinsoku/>
        <w:wordWrap/>
        <w:overflowPunct/>
        <w:topLinePunct w:val="0"/>
        <w:autoSpaceDE/>
        <w:autoSpaceDN/>
        <w:bidi w:val="0"/>
        <w:adjustRightInd w:val="0"/>
        <w:snapToGrid w:val="0"/>
        <w:spacing w:line="600" w:lineRule="exact"/>
        <w:ind w:firstLine="566" w:firstLineChars="177"/>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color w:val="000000"/>
          <w:kern w:val="0"/>
          <w:sz w:val="32"/>
          <w:szCs w:val="32"/>
          <w:shd w:val="clear" w:color="auto" w:fill="FFFFFF"/>
          <w:lang w:val="zh-CN"/>
        </w:rPr>
        <w:t>2.预</w:t>
      </w:r>
      <w:r>
        <w:rPr>
          <w:rFonts w:hint="eastAsia" w:ascii="仿宋_GB2312" w:hAnsi="仿宋_GB2312" w:eastAsia="仿宋_GB2312" w:cs="仿宋_GB2312"/>
          <w:b/>
          <w:sz w:val="32"/>
          <w:szCs w:val="32"/>
        </w:rPr>
        <w:t>算执行方面：</w:t>
      </w:r>
      <w:r>
        <w:rPr>
          <w:rFonts w:hint="eastAsia" w:ascii="仿宋_GB2312" w:hAnsi="仿宋_GB2312" w:eastAsia="仿宋_GB2312" w:cs="仿宋_GB2312"/>
          <w:sz w:val="32"/>
          <w:szCs w:val="32"/>
        </w:rPr>
        <w:t>项目执行进度滞后于预算安排，资金支付不及时。可能导致年末突击花钱的现象，降低资金使用效</w:t>
      </w:r>
      <w:r>
        <w:rPr>
          <w:rFonts w:hint="eastAsia" w:ascii="仿宋_GB2312" w:hAnsi="仿宋_GB2312" w:eastAsia="仿宋_GB2312" w:cs="仿宋_GB2312"/>
          <w:bCs/>
          <w:sz w:val="32"/>
          <w:szCs w:val="32"/>
        </w:rPr>
        <w:t>率。</w:t>
      </w:r>
    </w:p>
    <w:p>
      <w:pPr>
        <w:keepNext w:val="0"/>
        <w:keepLines w:val="0"/>
        <w:pageBreakBefore w:val="0"/>
        <w:widowControl/>
        <w:kinsoku/>
        <w:wordWrap/>
        <w:overflowPunct/>
        <w:topLinePunct w:val="0"/>
        <w:autoSpaceDE/>
        <w:autoSpaceDN/>
        <w:bidi w:val="0"/>
        <w:adjustRightInd w:val="0"/>
        <w:snapToGrid w:val="0"/>
        <w:spacing w:line="600" w:lineRule="exact"/>
        <w:ind w:firstLine="566" w:firstLineChars="177"/>
        <w:textAlignment w:val="auto"/>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（三）改进建议。</w:t>
      </w:r>
      <w:bookmarkStart w:id="85" w:name="_Hlk110546638"/>
    </w:p>
    <w:p>
      <w:pPr>
        <w:keepNext w:val="0"/>
        <w:keepLines w:val="0"/>
        <w:pageBreakBefore w:val="0"/>
        <w:widowControl/>
        <w:kinsoku/>
        <w:wordWrap/>
        <w:overflowPunct/>
        <w:topLinePunct w:val="0"/>
        <w:autoSpaceDE/>
        <w:autoSpaceDN/>
        <w:bidi w:val="0"/>
        <w:adjustRightInd w:val="0"/>
        <w:snapToGrid w:val="0"/>
        <w:spacing w:line="600" w:lineRule="exact"/>
        <w:ind w:firstLine="568" w:firstLineChars="177"/>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1.预算安排方面：</w:t>
      </w:r>
      <w:r>
        <w:rPr>
          <w:rFonts w:hint="eastAsia" w:ascii="仿宋_GB2312" w:hAnsi="仿宋_GB2312" w:eastAsia="仿宋_GB2312" w:cs="仿宋_GB2312"/>
          <w:sz w:val="32"/>
          <w:szCs w:val="32"/>
        </w:rPr>
        <w:t>应加强预算编制的科学性和准确性。深入调研部门各项业务需求，合理预估支出规模，减少预算与实际支出的偏差。建立动态预算调整机制，根据实际情况及时调整预算，提高资金使用效率。同时，优化预算资金分配，向重点项目和关键业务倾斜，确保资源得到合理配置。</w:t>
      </w:r>
    </w:p>
    <w:p>
      <w:pPr>
        <w:keepNext w:val="0"/>
        <w:keepLines w:val="0"/>
        <w:pageBreakBefore w:val="0"/>
        <w:widowControl/>
        <w:kinsoku/>
        <w:wordWrap/>
        <w:overflowPunct/>
        <w:topLinePunct w:val="0"/>
        <w:autoSpaceDE/>
        <w:autoSpaceDN/>
        <w:bidi w:val="0"/>
        <w:adjustRightInd w:val="0"/>
        <w:snapToGrid w:val="0"/>
        <w:spacing w:line="600" w:lineRule="exact"/>
        <w:ind w:firstLine="568" w:firstLineChars="177"/>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2.完善政策方面：</w:t>
      </w:r>
      <w:r>
        <w:rPr>
          <w:rFonts w:hint="eastAsia" w:ascii="仿宋_GB2312" w:hAnsi="仿宋_GB2312" w:eastAsia="仿宋_GB2312" w:cs="仿宋_GB2312"/>
          <w:sz w:val="32"/>
          <w:szCs w:val="32"/>
        </w:rPr>
        <w:t>制定完善的绩效管理制度，明确绩效目标和评价标准，将绩效评价结果与预算安排、人员考核挂钩。加强政策宣传和培训，提高部门人员对绩效评价工作的认识和重视程度。与相关部门协同合作，完善政策配套措施，为部门整体支出绩效提升创造良好的政策环境。</w:t>
      </w:r>
    </w:p>
    <w:p>
      <w:pPr>
        <w:keepNext w:val="0"/>
        <w:keepLines w:val="0"/>
        <w:pageBreakBefore w:val="0"/>
        <w:widowControl/>
        <w:kinsoku/>
        <w:wordWrap/>
        <w:overflowPunct/>
        <w:topLinePunct w:val="0"/>
        <w:autoSpaceDE/>
        <w:autoSpaceDN/>
        <w:bidi w:val="0"/>
        <w:adjustRightInd w:val="0"/>
        <w:snapToGrid w:val="0"/>
        <w:spacing w:line="600" w:lineRule="exact"/>
        <w:ind w:firstLine="568" w:firstLineChars="177"/>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3.提出措施建议：</w:t>
      </w:r>
      <w:r>
        <w:rPr>
          <w:rFonts w:hint="eastAsia" w:ascii="仿宋_GB2312" w:hAnsi="仿宋_GB2312" w:eastAsia="仿宋_GB2312" w:cs="仿宋_GB2312"/>
          <w:sz w:val="32"/>
          <w:szCs w:val="32"/>
        </w:rPr>
        <w:t>强化预算执行管理，建立健全监控机制，实时跟踪资金使用情况，确保预算按计划执行。提升项目管理水平，加强项目前期论证和过程监管，提高项目质量和效益。加强部门内部管理，优化业务流程，提高工作效率。同时，加强人员培训和队伍建设，提高业务能力和综合素质，为部门发展提供有力支撑。</w:t>
      </w:r>
      <w:bookmarkEnd w:id="85"/>
    </w:p>
    <w:p>
      <w:pPr>
        <w:keepNext w:val="0"/>
        <w:keepLines w:val="0"/>
        <w:pageBreakBefore w:val="0"/>
        <w:widowControl/>
        <w:kinsoku/>
        <w:wordWrap/>
        <w:overflowPunct/>
        <w:topLinePunct w:val="0"/>
        <w:autoSpaceDE/>
        <w:autoSpaceDN/>
        <w:bidi w:val="0"/>
        <w:adjustRightInd w:val="0"/>
        <w:snapToGrid w:val="0"/>
        <w:spacing w:line="600" w:lineRule="exact"/>
        <w:ind w:firstLine="566" w:firstLineChars="177"/>
        <w:textAlignment w:val="auto"/>
        <w:rPr>
          <w:rFonts w:hint="eastAsia" w:ascii="仿宋_GB2312" w:hAnsi="仿宋_GB2312" w:eastAsia="仿宋_GB2312" w:cs="仿宋_GB2312"/>
          <w:sz w:val="32"/>
          <w:szCs w:val="32"/>
        </w:rPr>
      </w:pPr>
    </w:p>
    <w:p>
      <w:pPr>
        <w:pStyle w:val="7"/>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hAnsi="Times New Roman" w:cs="Times New Roman"/>
          <w:color w:val="auto"/>
          <w:sz w:val="32"/>
          <w:szCs w:val="32"/>
          <w:highlight w:val="none"/>
          <w:lang w:val="zh-CN" w:eastAsia="zh-CN"/>
        </w:rPr>
      </w:pPr>
      <w:r>
        <w:rPr>
          <w:rFonts w:hint="eastAsia" w:ascii="仿宋_GB2312" w:hAnsi="仿宋_GB2312" w:eastAsia="仿宋_GB2312" w:cs="仿宋_GB2312"/>
          <w:color w:val="000000"/>
          <w:kern w:val="0"/>
          <w:sz w:val="32"/>
          <w:szCs w:val="32"/>
          <w:shd w:val="clear" w:color="auto" w:fill="FFFFFF"/>
        </w:rPr>
        <w:t>附表：</w:t>
      </w:r>
      <w:r>
        <w:rPr>
          <w:rFonts w:hint="eastAsia" w:hAnsi="Times New Roman" w:cs="Times New Roman"/>
          <w:color w:val="auto"/>
          <w:sz w:val="32"/>
          <w:szCs w:val="32"/>
          <w:highlight w:val="none"/>
          <w:lang w:val="en-US" w:eastAsia="zh-CN"/>
        </w:rPr>
        <w:t>部门预算项目支出绩效自评表（202</w:t>
      </w:r>
      <w:r>
        <w:rPr>
          <w:rFonts w:hint="eastAsia" w:cs="Times New Roman"/>
          <w:color w:val="auto"/>
          <w:sz w:val="32"/>
          <w:szCs w:val="32"/>
          <w:highlight w:val="none"/>
          <w:lang w:val="en-US" w:eastAsia="zh-CN"/>
        </w:rPr>
        <w:t>3</w:t>
      </w:r>
      <w:r>
        <w:rPr>
          <w:rFonts w:hint="eastAsia" w:hAnsi="Times New Roman" w:cs="Times New Roman"/>
          <w:color w:val="auto"/>
          <w:sz w:val="32"/>
          <w:szCs w:val="32"/>
          <w:highlight w:val="none"/>
          <w:lang w:val="en-US" w:eastAsia="zh-CN"/>
        </w:rPr>
        <w:t>年度）</w:t>
      </w:r>
    </w:p>
    <w:p>
      <w:pPr>
        <w:keepNext w:val="0"/>
        <w:keepLines w:val="0"/>
        <w:pageBreakBefore w:val="0"/>
        <w:widowControl/>
        <w:kinsoku/>
        <w:wordWrap/>
        <w:overflowPunct/>
        <w:topLinePunct w:val="0"/>
        <w:autoSpaceDE/>
        <w:autoSpaceDN/>
        <w:bidi w:val="0"/>
        <w:adjustRightInd w:val="0"/>
        <w:snapToGrid w:val="0"/>
        <w:spacing w:line="600" w:lineRule="exact"/>
        <w:ind w:firstLine="566" w:firstLineChars="177"/>
        <w:textAlignment w:val="auto"/>
        <w:rPr>
          <w:rFonts w:hint="eastAsia" w:ascii="仿宋_GB2312" w:hAnsi="仿宋_GB2312" w:eastAsia="仿宋_GB2312" w:cs="仿宋_GB2312"/>
          <w:color w:val="000000"/>
          <w:kern w:val="0"/>
          <w:sz w:val="32"/>
          <w:szCs w:val="32"/>
          <w:shd w:val="clear" w:color="auto" w:fill="FFFFFF"/>
          <w:lang w:eastAsia="zh-CN"/>
        </w:rPr>
      </w:pPr>
      <w:r>
        <w:rPr>
          <w:rFonts w:hint="eastAsia" w:ascii="仿宋_GB2312" w:hAnsi="仿宋_GB2312" w:eastAsia="仿宋_GB2312" w:cs="仿宋_GB2312"/>
          <w:color w:val="000000"/>
          <w:kern w:val="0"/>
          <w:sz w:val="32"/>
          <w:szCs w:val="32"/>
          <w:shd w:val="clear" w:color="auto" w:fill="FFFFFF"/>
          <w:lang w:eastAsia="zh-CN"/>
        </w:rPr>
        <w:t>具体详情见附表</w:t>
      </w:r>
    </w:p>
    <w:p>
      <w:pPr>
        <w:keepNext w:val="0"/>
        <w:keepLines w:val="0"/>
        <w:pageBreakBefore w:val="0"/>
        <w:widowControl/>
        <w:kinsoku/>
        <w:wordWrap/>
        <w:overflowPunct/>
        <w:topLinePunct w:val="0"/>
        <w:autoSpaceDE/>
        <w:autoSpaceDN/>
        <w:bidi w:val="0"/>
        <w:adjustRightInd w:val="0"/>
        <w:snapToGrid w:val="0"/>
        <w:spacing w:line="600" w:lineRule="exact"/>
        <w:ind w:firstLine="566" w:firstLineChars="177"/>
        <w:textAlignment w:val="auto"/>
        <w:rPr>
          <w:rFonts w:hint="eastAsia" w:ascii="仿宋_GB2312" w:hAnsi="仿宋_GB2312" w:eastAsia="仿宋_GB2312" w:cs="仿宋_GB2312"/>
          <w:color w:val="000000"/>
          <w:kern w:val="0"/>
          <w:sz w:val="32"/>
          <w:szCs w:val="32"/>
          <w:shd w:val="clear" w:color="auto" w:fill="FFFFFF"/>
        </w:rPr>
      </w:pPr>
    </w:p>
    <w:p>
      <w:pPr>
        <w:keepNext w:val="0"/>
        <w:keepLines w:val="0"/>
        <w:pageBreakBefore w:val="0"/>
        <w:widowControl/>
        <w:kinsoku/>
        <w:wordWrap/>
        <w:overflowPunct/>
        <w:topLinePunct w:val="0"/>
        <w:autoSpaceDE/>
        <w:autoSpaceDN/>
        <w:bidi w:val="0"/>
        <w:spacing w:line="600" w:lineRule="exact"/>
        <w:ind w:right="424"/>
        <w:textAlignment w:val="auto"/>
        <w:rPr>
          <w:rFonts w:hint="eastAsia" w:ascii="仿宋_GB2312" w:hAnsi="仿宋_GB2312" w:eastAsia="仿宋_GB2312" w:cs="仿宋_GB2312"/>
          <w:sz w:val="32"/>
          <w:szCs w:val="32"/>
        </w:rPr>
      </w:pPr>
    </w:p>
    <w:p>
      <w:pPr>
        <w:keepNext w:val="0"/>
        <w:keepLines w:val="0"/>
        <w:pageBreakBefore w:val="0"/>
        <w:widowControl/>
        <w:kinsoku/>
        <w:wordWrap/>
        <w:overflowPunct/>
        <w:topLinePunct w:val="0"/>
        <w:autoSpaceDE/>
        <w:autoSpaceDN/>
        <w:bidi w:val="0"/>
        <w:spacing w:line="600" w:lineRule="exact"/>
        <w:ind w:left="279" w:leftChars="133" w:right="424" w:firstLine="707" w:firstLineChars="221"/>
        <w:textAlignment w:val="auto"/>
        <w:rPr>
          <w:rFonts w:hint="eastAsia" w:ascii="仿宋_GB2312" w:hAnsi="仿宋_GB2312" w:eastAsia="仿宋_GB2312" w:cs="仿宋_GB2312"/>
          <w:sz w:val="32"/>
          <w:szCs w:val="32"/>
        </w:rPr>
      </w:pPr>
    </w:p>
    <w:p>
      <w:pPr>
        <w:keepNext w:val="0"/>
        <w:keepLines w:val="0"/>
        <w:pageBreakBefore w:val="0"/>
        <w:widowControl/>
        <w:kinsoku/>
        <w:wordWrap/>
        <w:overflowPunct/>
        <w:topLinePunct w:val="0"/>
        <w:autoSpaceDE/>
        <w:autoSpaceDN/>
        <w:bidi w:val="0"/>
        <w:spacing w:line="600" w:lineRule="exact"/>
        <w:ind w:left="279" w:leftChars="133" w:right="424" w:firstLine="707" w:firstLineChars="221"/>
        <w:textAlignment w:val="auto"/>
        <w:rPr>
          <w:rFonts w:hint="eastAsia" w:ascii="仿宋_GB2312" w:hAnsi="仿宋_GB2312" w:eastAsia="仿宋_GB2312" w:cs="仿宋_GB2312"/>
          <w:sz w:val="32"/>
          <w:szCs w:val="32"/>
        </w:rPr>
      </w:pPr>
    </w:p>
    <w:p>
      <w:pPr>
        <w:keepNext w:val="0"/>
        <w:keepLines w:val="0"/>
        <w:pageBreakBefore w:val="0"/>
        <w:widowControl/>
        <w:kinsoku/>
        <w:wordWrap/>
        <w:overflowPunct/>
        <w:topLinePunct w:val="0"/>
        <w:autoSpaceDE/>
        <w:autoSpaceDN/>
        <w:bidi w:val="0"/>
        <w:adjustRightInd w:val="0"/>
        <w:snapToGrid w:val="0"/>
        <w:spacing w:line="600" w:lineRule="exact"/>
        <w:ind w:right="649" w:rightChars="309" w:firstLine="371" w:firstLineChars="177"/>
        <w:textAlignment w:val="auto"/>
        <w:rPr>
          <w:rFonts w:hint="eastAsia" w:ascii="黑体" w:hAnsi="黑体" w:eastAsia="黑体" w:cs="宋体"/>
        </w:rPr>
      </w:pPr>
      <w:r>
        <w:rPr>
          <w:color w:val="000000"/>
          <w:kern w:val="0"/>
          <w:shd w:val="clear" w:color="auto" w:fill="FFFFFF"/>
        </w:rPr>
        <w:br w:type="page"/>
      </w:r>
      <w:r>
        <w:rPr>
          <w:rFonts w:hint="eastAsia" w:ascii="黑体" w:hAnsi="黑体" w:eastAsia="黑体" w:cs="宋体"/>
        </w:rPr>
        <w:t>附表</w:t>
      </w:r>
    </w:p>
    <w:p>
      <w:pPr>
        <w:widowControl/>
        <w:adjustRightInd w:val="0"/>
        <w:snapToGrid w:val="0"/>
        <w:spacing w:line="540" w:lineRule="exact"/>
        <w:ind w:right="649" w:rightChars="309" w:firstLine="371" w:firstLineChars="177"/>
      </w:pPr>
    </w:p>
    <w:tbl>
      <w:tblPr>
        <w:tblStyle w:val="15"/>
        <w:tblW w:w="10297" w:type="dxa"/>
        <w:jc w:val="center"/>
        <w:tblLayout w:type="fixed"/>
        <w:tblCellMar>
          <w:top w:w="15" w:type="dxa"/>
          <w:left w:w="15" w:type="dxa"/>
          <w:bottom w:w="15" w:type="dxa"/>
          <w:right w:w="15" w:type="dxa"/>
        </w:tblCellMar>
      </w:tblPr>
      <w:tblGrid>
        <w:gridCol w:w="1225"/>
        <w:gridCol w:w="635"/>
        <w:gridCol w:w="567"/>
        <w:gridCol w:w="2298"/>
        <w:gridCol w:w="567"/>
        <w:gridCol w:w="567"/>
        <w:gridCol w:w="567"/>
        <w:gridCol w:w="567"/>
        <w:gridCol w:w="3304"/>
      </w:tblGrid>
      <w:tr>
        <w:tblPrEx>
          <w:tblCellMar>
            <w:top w:w="15" w:type="dxa"/>
            <w:left w:w="15" w:type="dxa"/>
            <w:bottom w:w="15" w:type="dxa"/>
            <w:right w:w="15" w:type="dxa"/>
          </w:tblCellMar>
        </w:tblPrEx>
        <w:trPr>
          <w:trHeight w:val="762" w:hRule="exact"/>
          <w:jc w:val="center"/>
        </w:trPr>
        <w:tc>
          <w:tcPr>
            <w:tcW w:w="10297" w:type="dxa"/>
            <w:gridSpan w:val="9"/>
            <w:shd w:val="clear" w:color="auto" w:fill="auto"/>
            <w:vAlign w:val="center"/>
          </w:tcPr>
          <w:p>
            <w:pPr>
              <w:widowControl/>
              <w:ind w:firstLine="880"/>
              <w:jc w:val="center"/>
              <w:textAlignment w:val="center"/>
              <w:rPr>
                <w:rFonts w:eastAsia="黑体"/>
                <w:color w:val="000000"/>
                <w:sz w:val="28"/>
                <w:szCs w:val="28"/>
              </w:rPr>
            </w:pPr>
            <w:r>
              <w:rPr>
                <w:rFonts w:eastAsia="方正小标宋简体"/>
                <w:color w:val="000000"/>
                <w:kern w:val="0"/>
                <w:sz w:val="44"/>
                <w:szCs w:val="44"/>
              </w:rPr>
              <w:t>部门整体支出绩效目标完成情况自评表</w:t>
            </w:r>
          </w:p>
        </w:tc>
      </w:tr>
      <w:tr>
        <w:tblPrEx>
          <w:tblCellMar>
            <w:top w:w="15" w:type="dxa"/>
            <w:left w:w="15" w:type="dxa"/>
            <w:bottom w:w="15" w:type="dxa"/>
            <w:right w:w="15" w:type="dxa"/>
          </w:tblCellMar>
        </w:tblPrEx>
        <w:trPr>
          <w:trHeight w:val="23" w:hRule="atLeast"/>
          <w:jc w:val="center"/>
        </w:trPr>
        <w:tc>
          <w:tcPr>
            <w:tcW w:w="10297" w:type="dxa"/>
            <w:gridSpan w:val="9"/>
            <w:shd w:val="clear" w:color="auto" w:fill="auto"/>
            <w:vAlign w:val="center"/>
          </w:tcPr>
          <w:p>
            <w:pPr>
              <w:widowControl/>
              <w:ind w:firstLine="560"/>
              <w:jc w:val="center"/>
              <w:textAlignment w:val="center"/>
              <w:rPr>
                <w:rFonts w:eastAsia="宋体"/>
                <w:color w:val="000000"/>
                <w:sz w:val="28"/>
                <w:szCs w:val="28"/>
              </w:rPr>
            </w:pPr>
            <w:r>
              <w:rPr>
                <w:rFonts w:hint="eastAsia" w:ascii="楷体_GB2312" w:hAnsi="楷体_GB2312" w:eastAsia="楷体_GB2312" w:cs="楷体_GB2312"/>
                <w:color w:val="000000"/>
                <w:kern w:val="0"/>
                <w:sz w:val="28"/>
                <w:szCs w:val="28"/>
              </w:rPr>
              <w:t>（2023年度）</w:t>
            </w:r>
          </w:p>
        </w:tc>
      </w:tr>
      <w:tr>
        <w:tblPrEx>
          <w:tblCellMar>
            <w:top w:w="15" w:type="dxa"/>
            <w:left w:w="15" w:type="dxa"/>
            <w:bottom w:w="15" w:type="dxa"/>
            <w:right w:w="15" w:type="dxa"/>
          </w:tblCellMar>
        </w:tblPrEx>
        <w:trPr>
          <w:trHeight w:val="434" w:hRule="atLeast"/>
          <w:jc w:val="center"/>
        </w:trPr>
        <w:tc>
          <w:tcPr>
            <w:tcW w:w="10297" w:type="dxa"/>
            <w:gridSpan w:val="9"/>
            <w:tcBorders>
              <w:bottom w:val="single" w:color="000000" w:sz="4" w:space="0"/>
            </w:tcBorders>
            <w:shd w:val="clear" w:color="auto" w:fill="auto"/>
            <w:vAlign w:val="center"/>
          </w:tcPr>
          <w:p>
            <w:pPr>
              <w:widowControl/>
              <w:ind w:firstLine="420"/>
              <w:jc w:val="right"/>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rPr>
              <w:t>单位：万元</w:t>
            </w:r>
          </w:p>
        </w:tc>
      </w:tr>
      <w:tr>
        <w:tblPrEx>
          <w:tblCellMar>
            <w:top w:w="15" w:type="dxa"/>
            <w:left w:w="15" w:type="dxa"/>
            <w:bottom w:w="15" w:type="dxa"/>
            <w:right w:w="15" w:type="dxa"/>
          </w:tblCellMar>
        </w:tblPrEx>
        <w:trPr>
          <w:trHeight w:val="23" w:hRule="atLeast"/>
          <w:jc w:val="center"/>
        </w:trPr>
        <w:tc>
          <w:tcPr>
            <w:tcW w:w="24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ind w:firstLine="420"/>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rPr>
              <w:t>部门名称</w:t>
            </w:r>
          </w:p>
        </w:tc>
        <w:tc>
          <w:tcPr>
            <w:tcW w:w="787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ind w:firstLine="420"/>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rPr>
              <w:t>广元市交通技工学校</w:t>
            </w:r>
          </w:p>
        </w:tc>
      </w:tr>
      <w:tr>
        <w:tblPrEx>
          <w:tblCellMar>
            <w:top w:w="15" w:type="dxa"/>
            <w:left w:w="15" w:type="dxa"/>
            <w:bottom w:w="15" w:type="dxa"/>
            <w:right w:w="15" w:type="dxa"/>
          </w:tblCellMar>
        </w:tblPrEx>
        <w:trPr>
          <w:trHeight w:val="23" w:hRule="atLeast"/>
          <w:jc w:val="center"/>
        </w:trPr>
        <w:tc>
          <w:tcPr>
            <w:tcW w:w="12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年度部门整体支出预算</w:t>
            </w:r>
          </w:p>
        </w:tc>
        <w:tc>
          <w:tcPr>
            <w:tcW w:w="12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资金总额</w:t>
            </w:r>
          </w:p>
        </w:tc>
        <w:tc>
          <w:tcPr>
            <w:tcW w:w="28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ind w:firstLine="420"/>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rPr>
              <w:t>财政拨款</w:t>
            </w:r>
          </w:p>
        </w:tc>
        <w:tc>
          <w:tcPr>
            <w:tcW w:w="50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ind w:firstLine="420"/>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rPr>
              <w:t>其他资金</w:t>
            </w:r>
          </w:p>
        </w:tc>
      </w:tr>
      <w:tr>
        <w:tblPrEx>
          <w:tblCellMar>
            <w:top w:w="15" w:type="dxa"/>
            <w:left w:w="15" w:type="dxa"/>
            <w:bottom w:w="15" w:type="dxa"/>
            <w:right w:w="15" w:type="dxa"/>
          </w:tblCellMar>
        </w:tblPrEx>
        <w:trPr>
          <w:trHeight w:val="23" w:hRule="atLeast"/>
          <w:jc w:val="center"/>
        </w:trPr>
        <w:tc>
          <w:tcPr>
            <w:tcW w:w="12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ind w:firstLine="0" w:firstLineChars="0"/>
              <w:jc w:val="center"/>
              <w:textAlignment w:val="center"/>
              <w:rPr>
                <w:rFonts w:ascii="宋体" w:hAnsi="宋体" w:eastAsia="宋体" w:cs="宋体"/>
                <w:color w:val="000000"/>
                <w:kern w:val="0"/>
                <w:sz w:val="21"/>
                <w:szCs w:val="21"/>
              </w:rPr>
            </w:pPr>
          </w:p>
        </w:tc>
        <w:tc>
          <w:tcPr>
            <w:tcW w:w="12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658.09</w:t>
            </w:r>
          </w:p>
        </w:tc>
        <w:tc>
          <w:tcPr>
            <w:tcW w:w="28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ind w:firstLine="420"/>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rPr>
              <w:t>658.09</w:t>
            </w:r>
          </w:p>
        </w:tc>
        <w:tc>
          <w:tcPr>
            <w:tcW w:w="50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ind w:firstLine="420"/>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rPr>
              <w:t>0</w:t>
            </w:r>
          </w:p>
        </w:tc>
      </w:tr>
      <w:tr>
        <w:tblPrEx>
          <w:tblCellMar>
            <w:top w:w="15" w:type="dxa"/>
            <w:left w:w="15" w:type="dxa"/>
            <w:bottom w:w="15" w:type="dxa"/>
            <w:right w:w="15" w:type="dxa"/>
          </w:tblCellMar>
        </w:tblPrEx>
        <w:trPr>
          <w:trHeight w:val="500" w:hRule="atLeast"/>
          <w:jc w:val="center"/>
        </w:trPr>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年度总体</w:t>
            </w:r>
          </w:p>
          <w:p>
            <w:pPr>
              <w:widowControl/>
              <w:spacing w:line="32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目标</w:t>
            </w:r>
          </w:p>
        </w:tc>
        <w:tc>
          <w:tcPr>
            <w:tcW w:w="907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ind w:firstLine="0" w:firstLineChars="0"/>
              <w:textAlignment w:val="center"/>
            </w:pPr>
            <w:r>
              <w:rPr>
                <w:rFonts w:hint="eastAsia" w:ascii="宋体" w:hAnsi="宋体" w:eastAsia="宋体" w:cs="宋体"/>
                <w:color w:val="000000"/>
                <w:kern w:val="0"/>
                <w:sz w:val="21"/>
                <w:szCs w:val="21"/>
              </w:rPr>
              <w:t>保障单位日常工作正常运转；推进乡村振兴工作；完成教学培训工作。</w:t>
            </w:r>
          </w:p>
        </w:tc>
      </w:tr>
      <w:tr>
        <w:tblPrEx>
          <w:tblCellMar>
            <w:top w:w="15" w:type="dxa"/>
            <w:left w:w="15" w:type="dxa"/>
            <w:bottom w:w="15" w:type="dxa"/>
            <w:right w:w="15" w:type="dxa"/>
          </w:tblCellMar>
        </w:tblPrEx>
        <w:trPr>
          <w:trHeight w:val="23" w:hRule="atLeast"/>
          <w:jc w:val="center"/>
        </w:trPr>
        <w:tc>
          <w:tcPr>
            <w:tcW w:w="12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年度主要</w:t>
            </w:r>
          </w:p>
          <w:p>
            <w:pPr>
              <w:widowControl/>
              <w:spacing w:line="30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任务</w:t>
            </w:r>
          </w:p>
        </w:tc>
        <w:tc>
          <w:tcPr>
            <w:tcW w:w="12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rPr>
              <w:t>任务名称</w:t>
            </w:r>
          </w:p>
        </w:tc>
        <w:tc>
          <w:tcPr>
            <w:tcW w:w="787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420"/>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rPr>
              <w:t>主要内容</w:t>
            </w:r>
          </w:p>
        </w:tc>
      </w:tr>
      <w:tr>
        <w:tblPrEx>
          <w:tblCellMar>
            <w:top w:w="15" w:type="dxa"/>
            <w:left w:w="15" w:type="dxa"/>
            <w:bottom w:w="15" w:type="dxa"/>
            <w:right w:w="15" w:type="dxa"/>
          </w:tblCellMar>
        </w:tblPrEx>
        <w:trPr>
          <w:trHeight w:val="23" w:hRule="atLeast"/>
          <w:jc w:val="center"/>
        </w:trPr>
        <w:tc>
          <w:tcPr>
            <w:tcW w:w="12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420"/>
              <w:jc w:val="center"/>
              <w:rPr>
                <w:rFonts w:ascii="宋体" w:hAnsi="宋体" w:eastAsia="宋体" w:cs="宋体"/>
                <w:color w:val="000000"/>
                <w:sz w:val="21"/>
                <w:szCs w:val="21"/>
              </w:rPr>
            </w:pPr>
          </w:p>
        </w:tc>
        <w:tc>
          <w:tcPr>
            <w:tcW w:w="1202" w:type="dxa"/>
            <w:gridSpan w:val="2"/>
            <w:tcBorders>
              <w:top w:val="single" w:color="000000" w:sz="4" w:space="0"/>
              <w:left w:val="single" w:color="000000" w:sz="4" w:space="0"/>
              <w:bottom w:val="single" w:color="auto" w:sz="4" w:space="0"/>
              <w:right w:val="single" w:color="000000" w:sz="4" w:space="0"/>
            </w:tcBorders>
            <w:shd w:val="clear" w:color="auto" w:fill="auto"/>
            <w:vAlign w:val="center"/>
          </w:tcPr>
          <w:p>
            <w:pPr>
              <w:widowControl/>
              <w:spacing w:line="300" w:lineRule="exact"/>
              <w:ind w:firstLine="0" w:firstLineChars="0"/>
              <w:jc w:val="center"/>
              <w:textAlignment w:val="center"/>
              <w:rPr>
                <w:rFonts w:ascii="宋体" w:hAnsi="宋体" w:eastAsia="宋体" w:cs="宋体"/>
                <w:color w:val="000000"/>
                <w:sz w:val="21"/>
                <w:szCs w:val="21"/>
              </w:rPr>
            </w:pPr>
            <w:r>
              <w:rPr>
                <w:rFonts w:hint="eastAsia" w:ascii="宋体" w:hAnsi="宋体" w:eastAsia="宋体" w:cs="宋体"/>
                <w:color w:val="000000"/>
                <w:sz w:val="21"/>
                <w:szCs w:val="21"/>
              </w:rPr>
              <w:t>开展学员技能培训工作经费</w:t>
            </w:r>
          </w:p>
        </w:tc>
        <w:tc>
          <w:tcPr>
            <w:tcW w:w="7870" w:type="dxa"/>
            <w:gridSpan w:val="6"/>
            <w:tcBorders>
              <w:top w:val="single" w:color="000000" w:sz="4" w:space="0"/>
              <w:left w:val="single" w:color="000000" w:sz="4" w:space="0"/>
              <w:bottom w:val="single" w:color="auto" w:sz="4" w:space="0"/>
              <w:right w:val="single" w:color="000000" w:sz="4" w:space="0"/>
            </w:tcBorders>
            <w:shd w:val="clear" w:color="auto" w:fill="auto"/>
            <w:vAlign w:val="center"/>
          </w:tcPr>
          <w:p>
            <w:pPr>
              <w:widowControl/>
              <w:spacing w:line="300" w:lineRule="exact"/>
              <w:ind w:firstLine="0" w:firstLineChars="0"/>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rPr>
              <w:t>1</w:t>
            </w:r>
            <w:r>
              <w:rPr>
                <w:rFonts w:hint="eastAsia" w:ascii="宋体" w:hAnsi="宋体" w:cs="宋体" w:eastAsiaTheme="minorEastAsia"/>
                <w:color w:val="000000"/>
                <w:kern w:val="0"/>
                <w:sz w:val="21"/>
                <w:szCs w:val="21"/>
              </w:rPr>
              <w:t>.</w:t>
            </w:r>
            <w:r>
              <w:rPr>
                <w:rFonts w:hint="eastAsia" w:ascii="宋体" w:hAnsi="宋体" w:eastAsia="宋体" w:cs="宋体"/>
                <w:color w:val="000000"/>
                <w:sz w:val="21"/>
                <w:szCs w:val="21"/>
              </w:rPr>
              <w:t>完成</w:t>
            </w:r>
            <w:r>
              <w:rPr>
                <w:rFonts w:hint="eastAsia" w:ascii="宋体" w:hAnsi="宋体" w:eastAsia="宋体" w:cs="宋体"/>
                <w:color w:val="000000"/>
                <w:kern w:val="0"/>
                <w:sz w:val="21"/>
                <w:szCs w:val="21"/>
              </w:rPr>
              <w:t>汽车驾驶员培训1000人（其中： C1型900人，C2型30人，C5型40人，B2型30人）；2.完成短期培训1000人。</w:t>
            </w:r>
          </w:p>
        </w:tc>
      </w:tr>
      <w:tr>
        <w:tblPrEx>
          <w:tblCellMar>
            <w:top w:w="15" w:type="dxa"/>
            <w:left w:w="15" w:type="dxa"/>
            <w:bottom w:w="15" w:type="dxa"/>
            <w:right w:w="15" w:type="dxa"/>
          </w:tblCellMar>
        </w:tblPrEx>
        <w:trPr>
          <w:trHeight w:val="23" w:hRule="atLeast"/>
          <w:jc w:val="center"/>
        </w:trPr>
        <w:tc>
          <w:tcPr>
            <w:tcW w:w="1225"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widowControl/>
              <w:spacing w:line="300" w:lineRule="exact"/>
              <w:ind w:firstLine="420"/>
              <w:jc w:val="center"/>
              <w:rPr>
                <w:rFonts w:ascii="宋体" w:hAnsi="宋体" w:eastAsia="宋体" w:cs="宋体"/>
                <w:color w:val="000000"/>
                <w:sz w:val="21"/>
                <w:szCs w:val="21"/>
              </w:rPr>
            </w:pPr>
          </w:p>
        </w:tc>
        <w:tc>
          <w:tcPr>
            <w:tcW w:w="12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ind w:firstLine="0" w:firstLineChars="0"/>
              <w:jc w:val="center"/>
              <w:textAlignment w:val="center"/>
              <w:rPr>
                <w:rFonts w:ascii="宋体" w:hAnsi="宋体" w:eastAsia="宋体" w:cs="宋体"/>
                <w:color w:val="000000"/>
                <w:sz w:val="21"/>
                <w:szCs w:val="21"/>
              </w:rPr>
            </w:pPr>
            <w:r>
              <w:rPr>
                <w:rFonts w:hint="eastAsia" w:ascii="宋体" w:hAnsi="宋体" w:eastAsia="宋体" w:cs="宋体"/>
                <w:color w:val="000000"/>
                <w:sz w:val="21"/>
                <w:szCs w:val="21"/>
              </w:rPr>
              <w:t>乡村振兴工作经费</w:t>
            </w:r>
          </w:p>
        </w:tc>
        <w:tc>
          <w:tcPr>
            <w:tcW w:w="787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ind w:firstLine="0" w:firstLineChars="0"/>
              <w:textAlignment w:val="center"/>
              <w:rPr>
                <w:rFonts w:ascii="宋体" w:hAnsi="宋体" w:eastAsia="宋体" w:cs="宋体"/>
                <w:color w:val="000000"/>
                <w:sz w:val="21"/>
                <w:szCs w:val="21"/>
              </w:rPr>
            </w:pPr>
            <w:r>
              <w:rPr>
                <w:rFonts w:hint="eastAsia" w:ascii="宋体" w:hAnsi="宋体" w:eastAsia="宋体" w:cs="宋体"/>
                <w:color w:val="000000"/>
                <w:sz w:val="21"/>
                <w:szCs w:val="21"/>
              </w:rPr>
              <w:t>推进驻村帮扶乡村振兴工作，着力完成重点工作；协助帮扶村，加强村党组织建设；协助抓好特色优势产业发展，推进强村富民；提升治理水平；为民办事服务。</w:t>
            </w:r>
          </w:p>
        </w:tc>
      </w:tr>
      <w:tr>
        <w:tblPrEx>
          <w:tblCellMar>
            <w:top w:w="15" w:type="dxa"/>
            <w:left w:w="15" w:type="dxa"/>
            <w:bottom w:w="15" w:type="dxa"/>
            <w:right w:w="15" w:type="dxa"/>
          </w:tblCellMar>
        </w:tblPrEx>
        <w:trPr>
          <w:trHeight w:val="23" w:hRule="atLeast"/>
          <w:jc w:val="center"/>
        </w:trPr>
        <w:tc>
          <w:tcPr>
            <w:tcW w:w="122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ind w:firstLine="0" w:firstLineChars="0"/>
              <w:jc w:val="center"/>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rPr>
              <w:t>年度绩效指标</w:t>
            </w:r>
          </w:p>
        </w:tc>
        <w:tc>
          <w:tcPr>
            <w:tcW w:w="6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一级指标</w:t>
            </w:r>
          </w:p>
        </w:tc>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二级指标</w:t>
            </w:r>
          </w:p>
        </w:tc>
        <w:tc>
          <w:tcPr>
            <w:tcW w:w="229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三级指标</w:t>
            </w:r>
          </w:p>
        </w:tc>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绩效指标性质</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绩效指标值</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绩效度量单位</w:t>
            </w:r>
          </w:p>
        </w:tc>
        <w:tc>
          <w:tcPr>
            <w:tcW w:w="567" w:type="dxa"/>
            <w:tcBorders>
              <w:top w:val="single" w:color="000000" w:sz="4" w:space="0"/>
              <w:left w:val="single" w:color="000000" w:sz="4" w:space="0"/>
              <w:bottom w:val="single" w:color="000000" w:sz="4" w:space="0"/>
            </w:tcBorders>
            <w:shd w:val="clear" w:color="auto" w:fill="auto"/>
            <w:vAlign w:val="center"/>
          </w:tcPr>
          <w:p>
            <w:pPr>
              <w:widowControl/>
              <w:spacing w:line="30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权重</w:t>
            </w:r>
          </w:p>
        </w:tc>
        <w:tc>
          <w:tcPr>
            <w:tcW w:w="33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实际完成</w:t>
            </w:r>
          </w:p>
          <w:p>
            <w:pPr>
              <w:widowControl/>
              <w:spacing w:line="30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指标值</w:t>
            </w:r>
          </w:p>
        </w:tc>
      </w:tr>
      <w:tr>
        <w:tblPrEx>
          <w:tblCellMar>
            <w:top w:w="15" w:type="dxa"/>
            <w:left w:w="15" w:type="dxa"/>
            <w:bottom w:w="15" w:type="dxa"/>
            <w:right w:w="15" w:type="dxa"/>
          </w:tblCellMar>
        </w:tblPrEx>
        <w:trPr>
          <w:trHeight w:val="414" w:hRule="atLeast"/>
          <w:jc w:val="center"/>
        </w:trPr>
        <w:tc>
          <w:tcPr>
            <w:tcW w:w="12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ind w:firstLine="420"/>
              <w:jc w:val="center"/>
              <w:rPr>
                <w:rFonts w:ascii="宋体" w:hAnsi="宋体" w:eastAsia="宋体" w:cs="宋体"/>
                <w:color w:val="000000"/>
                <w:sz w:val="21"/>
                <w:szCs w:val="21"/>
              </w:rPr>
            </w:pPr>
          </w:p>
        </w:tc>
        <w:tc>
          <w:tcPr>
            <w:tcW w:w="63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产出指标</w:t>
            </w:r>
          </w:p>
        </w:tc>
        <w:tc>
          <w:tcPr>
            <w:tcW w:w="567" w:type="dxa"/>
            <w:vMerge w:val="restart"/>
            <w:tcBorders>
              <w:top w:val="single" w:color="auto" w:sz="4" w:space="0"/>
              <w:left w:val="single" w:color="auto" w:sz="4" w:space="0"/>
              <w:right w:val="single" w:color="auto" w:sz="4" w:space="0"/>
            </w:tcBorders>
            <w:shd w:val="clear" w:color="auto" w:fill="auto"/>
            <w:vAlign w:val="center"/>
          </w:tcPr>
          <w:p>
            <w:pPr>
              <w:widowControl/>
              <w:spacing w:line="30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数量指标</w:t>
            </w:r>
          </w:p>
        </w:tc>
        <w:tc>
          <w:tcPr>
            <w:tcW w:w="2298" w:type="dxa"/>
            <w:tcBorders>
              <w:top w:val="single" w:color="auto" w:sz="4" w:space="0"/>
              <w:left w:val="single" w:color="auto" w:sz="4" w:space="0"/>
              <w:bottom w:val="single" w:color="auto" w:sz="4" w:space="0"/>
              <w:right w:val="single" w:color="auto" w:sz="4" w:space="0"/>
            </w:tcBorders>
            <w:shd w:val="clear" w:color="auto" w:fill="auto"/>
          </w:tcPr>
          <w:p>
            <w:pPr>
              <w:widowControl/>
              <w:spacing w:line="30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驻村工作队员</w:t>
            </w:r>
          </w:p>
        </w:tc>
        <w:tc>
          <w:tcPr>
            <w:tcW w:w="567" w:type="dxa"/>
            <w:tcBorders>
              <w:top w:val="single" w:color="000000" w:sz="4" w:space="0"/>
              <w:left w:val="single" w:color="auto" w:sz="4" w:space="0"/>
              <w:bottom w:val="single" w:color="auto" w:sz="4" w:space="0"/>
              <w:right w:val="single" w:color="000000" w:sz="4" w:space="0"/>
            </w:tcBorders>
            <w:shd w:val="clear" w:color="auto" w:fill="auto"/>
            <w:vAlign w:val="center"/>
          </w:tcPr>
          <w:p>
            <w:pPr>
              <w:widowControl/>
              <w:spacing w:line="30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w:t>
            </w:r>
          </w:p>
        </w:tc>
        <w:tc>
          <w:tcPr>
            <w:tcW w:w="567"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spacing w:line="30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567"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spacing w:line="30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人</w:t>
            </w:r>
          </w:p>
        </w:tc>
        <w:tc>
          <w:tcPr>
            <w:tcW w:w="567"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spacing w:line="30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4%</w:t>
            </w:r>
          </w:p>
        </w:tc>
        <w:tc>
          <w:tcPr>
            <w:tcW w:w="3304" w:type="dxa"/>
            <w:tcBorders>
              <w:left w:val="single" w:color="000000" w:sz="4" w:space="0"/>
              <w:bottom w:val="single" w:color="auto" w:sz="4" w:space="0"/>
              <w:right w:val="single" w:color="000000" w:sz="4" w:space="0"/>
            </w:tcBorders>
            <w:shd w:val="clear" w:color="auto" w:fill="auto"/>
            <w:vAlign w:val="center"/>
          </w:tcPr>
          <w:p>
            <w:pPr>
              <w:widowControl/>
              <w:spacing w:line="300" w:lineRule="exact"/>
              <w:ind w:firstLine="0" w:firstLineChars="0"/>
              <w:textAlignment w:val="center"/>
              <w:rPr>
                <w:rFonts w:ascii="宋体" w:hAnsi="宋体" w:eastAsia="宋体" w:cs="宋体"/>
                <w:color w:val="000000"/>
                <w:sz w:val="21"/>
                <w:szCs w:val="21"/>
              </w:rPr>
            </w:pPr>
            <w:r>
              <w:rPr>
                <w:rFonts w:hint="eastAsia" w:ascii="宋体" w:hAnsi="宋体" w:eastAsia="宋体" w:cs="宋体"/>
                <w:color w:val="000000"/>
                <w:kern w:val="0"/>
                <w:sz w:val="21"/>
                <w:szCs w:val="21"/>
              </w:rPr>
              <w:t>2023</w:t>
            </w:r>
            <w:r>
              <w:rPr>
                <w:rFonts w:hint="eastAsia" w:ascii="宋体" w:hAnsi="宋体" w:eastAsia="宋体" w:cs="宋体"/>
                <w:color w:val="000000"/>
                <w:sz w:val="21"/>
                <w:szCs w:val="21"/>
              </w:rPr>
              <w:t>年单位派驻村干部一人</w:t>
            </w:r>
          </w:p>
        </w:tc>
      </w:tr>
      <w:tr>
        <w:tblPrEx>
          <w:tblCellMar>
            <w:top w:w="15" w:type="dxa"/>
            <w:left w:w="15" w:type="dxa"/>
            <w:bottom w:w="15" w:type="dxa"/>
            <w:right w:w="15" w:type="dxa"/>
          </w:tblCellMar>
        </w:tblPrEx>
        <w:trPr>
          <w:trHeight w:val="472" w:hRule="atLeast"/>
          <w:jc w:val="center"/>
        </w:trPr>
        <w:tc>
          <w:tcPr>
            <w:tcW w:w="12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ind w:firstLine="420"/>
              <w:jc w:val="center"/>
              <w:rPr>
                <w:rFonts w:ascii="宋体" w:hAnsi="宋体" w:eastAsia="宋体" w:cs="宋体"/>
                <w:color w:val="000000"/>
                <w:sz w:val="21"/>
                <w:szCs w:val="21"/>
              </w:rPr>
            </w:pPr>
          </w:p>
        </w:tc>
        <w:tc>
          <w:tcPr>
            <w:tcW w:w="6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ind w:firstLine="420"/>
              <w:jc w:val="center"/>
              <w:textAlignment w:val="center"/>
              <w:rPr>
                <w:rFonts w:ascii="宋体" w:hAnsi="宋体" w:eastAsia="宋体" w:cs="宋体"/>
                <w:color w:val="000000"/>
                <w:kern w:val="0"/>
                <w:sz w:val="21"/>
                <w:szCs w:val="21"/>
              </w:rPr>
            </w:pPr>
          </w:p>
        </w:tc>
        <w:tc>
          <w:tcPr>
            <w:tcW w:w="567" w:type="dxa"/>
            <w:vMerge w:val="continue"/>
            <w:tcBorders>
              <w:top w:val="single" w:color="auto" w:sz="4" w:space="0"/>
              <w:left w:val="single" w:color="auto" w:sz="4" w:space="0"/>
              <w:right w:val="single" w:color="auto" w:sz="4" w:space="0"/>
            </w:tcBorders>
            <w:shd w:val="clear" w:color="auto" w:fill="auto"/>
            <w:vAlign w:val="center"/>
          </w:tcPr>
          <w:p>
            <w:pPr>
              <w:widowControl/>
              <w:spacing w:line="300" w:lineRule="exact"/>
              <w:ind w:firstLine="420"/>
              <w:jc w:val="center"/>
              <w:textAlignment w:val="center"/>
              <w:rPr>
                <w:rFonts w:ascii="宋体" w:hAnsi="宋体" w:eastAsia="宋体" w:cs="宋体"/>
                <w:color w:val="000000"/>
                <w:kern w:val="0"/>
                <w:sz w:val="21"/>
                <w:szCs w:val="21"/>
              </w:rPr>
            </w:pPr>
          </w:p>
        </w:tc>
        <w:tc>
          <w:tcPr>
            <w:tcW w:w="2298" w:type="dxa"/>
            <w:tcBorders>
              <w:top w:val="single" w:color="auto" w:sz="4" w:space="0"/>
              <w:left w:val="single" w:color="auto" w:sz="4" w:space="0"/>
              <w:bottom w:val="single" w:color="auto" w:sz="4" w:space="0"/>
              <w:right w:val="single" w:color="auto" w:sz="4" w:space="0"/>
            </w:tcBorders>
            <w:shd w:val="clear" w:color="auto" w:fill="auto"/>
          </w:tcPr>
          <w:p>
            <w:pPr>
              <w:widowControl/>
              <w:spacing w:line="30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乡村振兴帮扶村个数</w:t>
            </w:r>
          </w:p>
        </w:tc>
        <w:tc>
          <w:tcPr>
            <w:tcW w:w="567" w:type="dxa"/>
            <w:tcBorders>
              <w:top w:val="single" w:color="auto" w:sz="4" w:space="0"/>
              <w:left w:val="single" w:color="auto" w:sz="4" w:space="0"/>
              <w:bottom w:val="single" w:color="auto" w:sz="4" w:space="0"/>
              <w:right w:val="single" w:color="000000" w:sz="4" w:space="0"/>
            </w:tcBorders>
            <w:shd w:val="clear" w:color="auto" w:fill="auto"/>
            <w:vAlign w:val="center"/>
          </w:tcPr>
          <w:p>
            <w:pPr>
              <w:widowControl/>
              <w:spacing w:line="30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w:t>
            </w:r>
          </w:p>
        </w:tc>
        <w:tc>
          <w:tcPr>
            <w:tcW w:w="567"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spacing w:line="30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567"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spacing w:line="30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567"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spacing w:line="30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4%</w:t>
            </w:r>
          </w:p>
        </w:tc>
        <w:tc>
          <w:tcPr>
            <w:tcW w:w="3304"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spacing w:line="300" w:lineRule="exact"/>
              <w:ind w:firstLine="0" w:firstLineChars="0"/>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乡村振兴帮扶村一个</w:t>
            </w:r>
          </w:p>
        </w:tc>
      </w:tr>
      <w:tr>
        <w:tblPrEx>
          <w:tblCellMar>
            <w:top w:w="15" w:type="dxa"/>
            <w:left w:w="15" w:type="dxa"/>
            <w:bottom w:w="15" w:type="dxa"/>
            <w:right w:w="15" w:type="dxa"/>
          </w:tblCellMar>
        </w:tblPrEx>
        <w:trPr>
          <w:trHeight w:val="438" w:hRule="atLeast"/>
          <w:jc w:val="center"/>
        </w:trPr>
        <w:tc>
          <w:tcPr>
            <w:tcW w:w="12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ind w:firstLine="420"/>
              <w:jc w:val="center"/>
              <w:rPr>
                <w:rFonts w:ascii="宋体" w:hAnsi="宋体" w:eastAsia="宋体" w:cs="宋体"/>
                <w:color w:val="000000"/>
                <w:sz w:val="21"/>
                <w:szCs w:val="21"/>
              </w:rPr>
            </w:pPr>
          </w:p>
        </w:tc>
        <w:tc>
          <w:tcPr>
            <w:tcW w:w="6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ind w:firstLine="420"/>
              <w:jc w:val="center"/>
              <w:textAlignment w:val="center"/>
              <w:rPr>
                <w:rFonts w:ascii="宋体" w:hAnsi="宋体" w:eastAsia="宋体" w:cs="宋体"/>
                <w:color w:val="000000"/>
                <w:kern w:val="0"/>
                <w:sz w:val="21"/>
                <w:szCs w:val="21"/>
              </w:rPr>
            </w:pPr>
          </w:p>
        </w:tc>
        <w:tc>
          <w:tcPr>
            <w:tcW w:w="567" w:type="dxa"/>
            <w:vMerge w:val="continue"/>
            <w:tcBorders>
              <w:top w:val="single" w:color="auto" w:sz="4" w:space="0"/>
              <w:left w:val="single" w:color="auto" w:sz="4" w:space="0"/>
              <w:right w:val="single" w:color="auto" w:sz="4" w:space="0"/>
            </w:tcBorders>
            <w:shd w:val="clear" w:color="auto" w:fill="auto"/>
            <w:vAlign w:val="center"/>
          </w:tcPr>
          <w:p>
            <w:pPr>
              <w:widowControl/>
              <w:spacing w:line="300" w:lineRule="exact"/>
              <w:ind w:firstLine="420"/>
              <w:jc w:val="center"/>
              <w:textAlignment w:val="center"/>
              <w:rPr>
                <w:rFonts w:ascii="宋体" w:hAnsi="宋体" w:eastAsia="宋体" w:cs="宋体"/>
                <w:color w:val="000000"/>
                <w:kern w:val="0"/>
                <w:sz w:val="21"/>
                <w:szCs w:val="21"/>
              </w:rPr>
            </w:pPr>
          </w:p>
        </w:tc>
        <w:tc>
          <w:tcPr>
            <w:tcW w:w="2298" w:type="dxa"/>
            <w:tcBorders>
              <w:top w:val="single" w:color="auto" w:sz="4" w:space="0"/>
              <w:left w:val="single" w:color="auto" w:sz="4" w:space="0"/>
              <w:bottom w:val="single" w:color="auto" w:sz="4" w:space="0"/>
              <w:right w:val="single" w:color="auto" w:sz="4" w:space="0"/>
            </w:tcBorders>
            <w:shd w:val="clear" w:color="auto" w:fill="auto"/>
          </w:tcPr>
          <w:p>
            <w:pPr>
              <w:widowControl/>
              <w:spacing w:line="30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完成培训任务</w:t>
            </w:r>
          </w:p>
        </w:tc>
        <w:tc>
          <w:tcPr>
            <w:tcW w:w="567" w:type="dxa"/>
            <w:tcBorders>
              <w:top w:val="single" w:color="auto" w:sz="4" w:space="0"/>
              <w:left w:val="single" w:color="auto" w:sz="4" w:space="0"/>
              <w:bottom w:val="single" w:color="auto" w:sz="4" w:space="0"/>
              <w:right w:val="single" w:color="000000" w:sz="4" w:space="0"/>
            </w:tcBorders>
            <w:shd w:val="clear" w:color="auto" w:fill="auto"/>
            <w:vAlign w:val="center"/>
          </w:tcPr>
          <w:p>
            <w:pPr>
              <w:widowControl/>
              <w:spacing w:line="30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w:t>
            </w:r>
          </w:p>
        </w:tc>
        <w:tc>
          <w:tcPr>
            <w:tcW w:w="567"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spacing w:line="30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2000</w:t>
            </w:r>
          </w:p>
        </w:tc>
        <w:tc>
          <w:tcPr>
            <w:tcW w:w="567"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spacing w:line="30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人/次</w:t>
            </w:r>
          </w:p>
        </w:tc>
        <w:tc>
          <w:tcPr>
            <w:tcW w:w="567"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spacing w:line="30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6%</w:t>
            </w:r>
          </w:p>
        </w:tc>
        <w:tc>
          <w:tcPr>
            <w:tcW w:w="3304"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spacing w:line="300" w:lineRule="exact"/>
              <w:ind w:firstLine="0" w:firstLineChars="0"/>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因2023年8月涉改，完成驾驶员技能培训732人；资格证培训，内河船员培训，安全管理人员培训共计1742人。</w:t>
            </w:r>
          </w:p>
        </w:tc>
      </w:tr>
      <w:tr>
        <w:tblPrEx>
          <w:tblCellMar>
            <w:top w:w="15" w:type="dxa"/>
            <w:left w:w="15" w:type="dxa"/>
            <w:bottom w:w="15" w:type="dxa"/>
            <w:right w:w="15" w:type="dxa"/>
          </w:tblCellMar>
        </w:tblPrEx>
        <w:trPr>
          <w:trHeight w:val="495" w:hRule="atLeast"/>
          <w:jc w:val="center"/>
        </w:trPr>
        <w:tc>
          <w:tcPr>
            <w:tcW w:w="12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ind w:firstLine="420"/>
              <w:jc w:val="center"/>
              <w:rPr>
                <w:rFonts w:ascii="宋体" w:hAnsi="宋体" w:eastAsia="宋体" w:cs="宋体"/>
                <w:color w:val="000000"/>
                <w:sz w:val="21"/>
                <w:szCs w:val="21"/>
              </w:rPr>
            </w:pPr>
          </w:p>
        </w:tc>
        <w:tc>
          <w:tcPr>
            <w:tcW w:w="6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ind w:firstLine="420"/>
              <w:jc w:val="center"/>
              <w:textAlignment w:val="center"/>
              <w:rPr>
                <w:rFonts w:ascii="宋体" w:hAnsi="宋体" w:eastAsia="宋体" w:cs="宋体"/>
                <w:color w:val="000000"/>
                <w:kern w:val="0"/>
                <w:sz w:val="21"/>
                <w:szCs w:val="21"/>
              </w:rPr>
            </w:pPr>
          </w:p>
        </w:tc>
        <w:tc>
          <w:tcPr>
            <w:tcW w:w="567" w:type="dxa"/>
            <w:vMerge w:val="continue"/>
            <w:tcBorders>
              <w:left w:val="single" w:color="auto" w:sz="4" w:space="0"/>
              <w:bottom w:val="single" w:color="auto" w:sz="4" w:space="0"/>
              <w:right w:val="single" w:color="auto" w:sz="4" w:space="0"/>
            </w:tcBorders>
            <w:shd w:val="clear" w:color="auto" w:fill="auto"/>
            <w:vAlign w:val="center"/>
          </w:tcPr>
          <w:p>
            <w:pPr>
              <w:widowControl/>
              <w:spacing w:line="300" w:lineRule="exact"/>
              <w:ind w:firstLine="420"/>
              <w:jc w:val="center"/>
              <w:textAlignment w:val="center"/>
              <w:rPr>
                <w:rFonts w:ascii="宋体" w:hAnsi="宋体" w:eastAsia="宋体" w:cs="宋体"/>
                <w:color w:val="000000"/>
                <w:kern w:val="0"/>
                <w:sz w:val="21"/>
                <w:szCs w:val="21"/>
              </w:rPr>
            </w:pPr>
          </w:p>
        </w:tc>
        <w:tc>
          <w:tcPr>
            <w:tcW w:w="2298" w:type="dxa"/>
            <w:tcBorders>
              <w:top w:val="single" w:color="auto" w:sz="4" w:space="0"/>
              <w:left w:val="single" w:color="auto" w:sz="4" w:space="0"/>
              <w:bottom w:val="single" w:color="auto" w:sz="4" w:space="0"/>
              <w:right w:val="single" w:color="auto" w:sz="4" w:space="0"/>
            </w:tcBorders>
            <w:shd w:val="clear" w:color="auto" w:fill="auto"/>
          </w:tcPr>
          <w:p>
            <w:pPr>
              <w:widowControl/>
              <w:spacing w:line="30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车辆交通安全事故发生率</w:t>
            </w:r>
          </w:p>
        </w:tc>
        <w:tc>
          <w:tcPr>
            <w:tcW w:w="567" w:type="dxa"/>
            <w:tcBorders>
              <w:top w:val="single" w:color="auto" w:sz="4" w:space="0"/>
              <w:left w:val="single" w:color="auto"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w:t>
            </w:r>
          </w:p>
        </w:tc>
        <w:tc>
          <w:tcPr>
            <w:tcW w:w="567"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567"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起</w:t>
            </w:r>
          </w:p>
        </w:tc>
        <w:tc>
          <w:tcPr>
            <w:tcW w:w="567"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4%</w:t>
            </w:r>
          </w:p>
        </w:tc>
        <w:tc>
          <w:tcPr>
            <w:tcW w:w="3304"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0" w:firstLineChars="0"/>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车辆交通安全事故发生一起。</w:t>
            </w:r>
          </w:p>
        </w:tc>
      </w:tr>
      <w:tr>
        <w:tblPrEx>
          <w:tblCellMar>
            <w:top w:w="15" w:type="dxa"/>
            <w:left w:w="15" w:type="dxa"/>
            <w:bottom w:w="15" w:type="dxa"/>
            <w:right w:w="15" w:type="dxa"/>
          </w:tblCellMar>
        </w:tblPrEx>
        <w:trPr>
          <w:trHeight w:val="391" w:hRule="atLeast"/>
          <w:jc w:val="center"/>
        </w:trPr>
        <w:tc>
          <w:tcPr>
            <w:tcW w:w="12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ind w:firstLine="420"/>
              <w:jc w:val="center"/>
              <w:rPr>
                <w:rFonts w:ascii="宋体" w:hAnsi="宋体" w:eastAsia="宋体" w:cs="宋体"/>
                <w:color w:val="000000"/>
                <w:sz w:val="21"/>
                <w:szCs w:val="21"/>
              </w:rPr>
            </w:pPr>
          </w:p>
        </w:tc>
        <w:tc>
          <w:tcPr>
            <w:tcW w:w="6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ind w:firstLine="420"/>
              <w:jc w:val="center"/>
              <w:rPr>
                <w:rFonts w:ascii="宋体" w:hAnsi="宋体" w:eastAsia="宋体" w:cs="宋体"/>
                <w:color w:val="000000"/>
                <w:sz w:val="21"/>
                <w:szCs w:val="21"/>
              </w:rPr>
            </w:pPr>
          </w:p>
        </w:tc>
        <w:tc>
          <w:tcPr>
            <w:tcW w:w="567" w:type="dxa"/>
            <w:vMerge w:val="restart"/>
            <w:tcBorders>
              <w:top w:val="single" w:color="auto" w:sz="4" w:space="0"/>
              <w:left w:val="single" w:color="auto" w:sz="4" w:space="0"/>
              <w:right w:val="single" w:color="auto" w:sz="4" w:space="0"/>
            </w:tcBorders>
            <w:shd w:val="clear" w:color="auto" w:fill="auto"/>
            <w:vAlign w:val="center"/>
          </w:tcPr>
          <w:p>
            <w:pPr>
              <w:widowControl/>
              <w:spacing w:line="30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质量指标</w:t>
            </w:r>
          </w:p>
        </w:tc>
        <w:tc>
          <w:tcPr>
            <w:tcW w:w="229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乡村振兴工作完成程度</w:t>
            </w:r>
          </w:p>
        </w:tc>
        <w:tc>
          <w:tcPr>
            <w:tcW w:w="567" w:type="dxa"/>
            <w:tcBorders>
              <w:top w:val="single" w:color="000000" w:sz="4" w:space="0"/>
              <w:left w:val="single" w:color="auto" w:sz="4" w:space="0"/>
              <w:bottom w:val="single" w:color="auto" w:sz="4" w:space="0"/>
              <w:right w:val="single" w:color="000000" w:sz="4" w:space="0"/>
            </w:tcBorders>
            <w:shd w:val="clear" w:color="auto" w:fill="auto"/>
            <w:vAlign w:val="center"/>
          </w:tcPr>
          <w:p>
            <w:pPr>
              <w:widowControl/>
              <w:spacing w:line="30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w:t>
            </w:r>
          </w:p>
        </w:tc>
        <w:tc>
          <w:tcPr>
            <w:tcW w:w="567"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spacing w:line="30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100</w:t>
            </w:r>
          </w:p>
        </w:tc>
        <w:tc>
          <w:tcPr>
            <w:tcW w:w="567"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spacing w:line="30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w:t>
            </w:r>
          </w:p>
        </w:tc>
        <w:tc>
          <w:tcPr>
            <w:tcW w:w="567"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spacing w:line="30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4%</w:t>
            </w:r>
          </w:p>
        </w:tc>
        <w:tc>
          <w:tcPr>
            <w:tcW w:w="3304"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spacing w:line="300" w:lineRule="exact"/>
              <w:ind w:firstLine="0" w:firstLineChars="0"/>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乡村振兴稳步推进，产业发展初见成效生态环境持续改善。</w:t>
            </w:r>
          </w:p>
        </w:tc>
      </w:tr>
      <w:tr>
        <w:tblPrEx>
          <w:tblCellMar>
            <w:top w:w="15" w:type="dxa"/>
            <w:left w:w="15" w:type="dxa"/>
            <w:bottom w:w="15" w:type="dxa"/>
            <w:right w:w="15" w:type="dxa"/>
          </w:tblCellMar>
        </w:tblPrEx>
        <w:trPr>
          <w:trHeight w:val="472" w:hRule="atLeast"/>
          <w:jc w:val="center"/>
        </w:trPr>
        <w:tc>
          <w:tcPr>
            <w:tcW w:w="12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ind w:firstLine="420"/>
              <w:jc w:val="center"/>
              <w:rPr>
                <w:rFonts w:ascii="宋体" w:hAnsi="宋体" w:eastAsia="宋体" w:cs="宋体"/>
                <w:color w:val="000000"/>
                <w:sz w:val="21"/>
                <w:szCs w:val="21"/>
              </w:rPr>
            </w:pPr>
          </w:p>
        </w:tc>
        <w:tc>
          <w:tcPr>
            <w:tcW w:w="6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ind w:firstLine="420"/>
              <w:jc w:val="center"/>
              <w:rPr>
                <w:rFonts w:ascii="宋体" w:hAnsi="宋体" w:eastAsia="宋体" w:cs="宋体"/>
                <w:color w:val="000000"/>
                <w:sz w:val="21"/>
                <w:szCs w:val="21"/>
              </w:rPr>
            </w:pPr>
          </w:p>
        </w:tc>
        <w:tc>
          <w:tcPr>
            <w:tcW w:w="567" w:type="dxa"/>
            <w:vMerge w:val="continue"/>
            <w:tcBorders>
              <w:left w:val="single" w:color="auto" w:sz="4" w:space="0"/>
              <w:right w:val="single" w:color="auto" w:sz="4" w:space="0"/>
            </w:tcBorders>
            <w:shd w:val="clear" w:color="auto" w:fill="auto"/>
            <w:vAlign w:val="center"/>
          </w:tcPr>
          <w:p>
            <w:pPr>
              <w:widowControl/>
              <w:spacing w:line="300" w:lineRule="exact"/>
              <w:ind w:firstLine="420"/>
              <w:jc w:val="center"/>
              <w:textAlignment w:val="center"/>
              <w:rPr>
                <w:rFonts w:ascii="宋体" w:hAnsi="宋体" w:eastAsia="宋体" w:cs="宋体"/>
                <w:color w:val="000000"/>
                <w:kern w:val="0"/>
                <w:sz w:val="21"/>
                <w:szCs w:val="21"/>
              </w:rPr>
            </w:pPr>
          </w:p>
        </w:tc>
        <w:tc>
          <w:tcPr>
            <w:tcW w:w="229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培训合格率</w:t>
            </w:r>
          </w:p>
        </w:tc>
        <w:tc>
          <w:tcPr>
            <w:tcW w:w="567" w:type="dxa"/>
            <w:tcBorders>
              <w:top w:val="single" w:color="auto" w:sz="4" w:space="0"/>
              <w:left w:val="single" w:color="auto" w:sz="4" w:space="0"/>
              <w:bottom w:val="single" w:color="auto" w:sz="4" w:space="0"/>
              <w:right w:val="single" w:color="000000" w:sz="4" w:space="0"/>
            </w:tcBorders>
            <w:shd w:val="clear" w:color="auto" w:fill="auto"/>
            <w:vAlign w:val="center"/>
          </w:tcPr>
          <w:p>
            <w:pPr>
              <w:widowControl/>
              <w:spacing w:line="30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w:t>
            </w:r>
          </w:p>
        </w:tc>
        <w:tc>
          <w:tcPr>
            <w:tcW w:w="567"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spacing w:line="30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90</w:t>
            </w:r>
          </w:p>
        </w:tc>
        <w:tc>
          <w:tcPr>
            <w:tcW w:w="567"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spacing w:line="30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w:t>
            </w:r>
          </w:p>
        </w:tc>
        <w:tc>
          <w:tcPr>
            <w:tcW w:w="567"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spacing w:line="30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4%</w:t>
            </w:r>
          </w:p>
        </w:tc>
        <w:tc>
          <w:tcPr>
            <w:tcW w:w="3304"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spacing w:line="300" w:lineRule="exact"/>
              <w:ind w:firstLine="0" w:firstLineChars="0"/>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培训合格率为91%</w:t>
            </w:r>
          </w:p>
        </w:tc>
      </w:tr>
      <w:tr>
        <w:tblPrEx>
          <w:tblCellMar>
            <w:top w:w="15" w:type="dxa"/>
            <w:left w:w="15" w:type="dxa"/>
            <w:bottom w:w="15" w:type="dxa"/>
            <w:right w:w="15" w:type="dxa"/>
          </w:tblCellMar>
        </w:tblPrEx>
        <w:trPr>
          <w:trHeight w:val="472" w:hRule="atLeast"/>
          <w:jc w:val="center"/>
        </w:trPr>
        <w:tc>
          <w:tcPr>
            <w:tcW w:w="12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ind w:firstLine="420"/>
              <w:jc w:val="center"/>
              <w:rPr>
                <w:rFonts w:ascii="宋体" w:hAnsi="宋体" w:eastAsia="宋体" w:cs="宋体"/>
                <w:color w:val="000000"/>
                <w:sz w:val="21"/>
                <w:szCs w:val="21"/>
              </w:rPr>
            </w:pPr>
          </w:p>
        </w:tc>
        <w:tc>
          <w:tcPr>
            <w:tcW w:w="6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ind w:firstLine="420"/>
              <w:jc w:val="center"/>
              <w:rPr>
                <w:rFonts w:ascii="宋体" w:hAnsi="宋体" w:eastAsia="宋体" w:cs="宋体"/>
                <w:color w:val="000000"/>
                <w:sz w:val="21"/>
                <w:szCs w:val="21"/>
              </w:rPr>
            </w:pPr>
          </w:p>
        </w:tc>
        <w:tc>
          <w:tcPr>
            <w:tcW w:w="567" w:type="dxa"/>
            <w:vMerge w:val="continue"/>
            <w:tcBorders>
              <w:left w:val="single" w:color="auto" w:sz="4" w:space="0"/>
              <w:right w:val="single" w:color="auto" w:sz="4" w:space="0"/>
            </w:tcBorders>
            <w:shd w:val="clear" w:color="auto" w:fill="auto"/>
            <w:vAlign w:val="center"/>
          </w:tcPr>
          <w:p>
            <w:pPr>
              <w:widowControl/>
              <w:spacing w:line="300" w:lineRule="exact"/>
              <w:ind w:firstLine="420"/>
              <w:jc w:val="center"/>
              <w:textAlignment w:val="center"/>
              <w:rPr>
                <w:rFonts w:ascii="宋体" w:hAnsi="宋体" w:eastAsia="宋体" w:cs="宋体"/>
                <w:color w:val="000000"/>
                <w:kern w:val="0"/>
                <w:sz w:val="21"/>
                <w:szCs w:val="21"/>
              </w:rPr>
            </w:pPr>
          </w:p>
        </w:tc>
        <w:tc>
          <w:tcPr>
            <w:tcW w:w="229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足额发放人员工资，并缴纳保险</w:t>
            </w:r>
          </w:p>
        </w:tc>
        <w:tc>
          <w:tcPr>
            <w:tcW w:w="567" w:type="dxa"/>
            <w:tcBorders>
              <w:top w:val="single" w:color="auto" w:sz="4" w:space="0"/>
              <w:left w:val="single" w:color="auto" w:sz="4" w:space="0"/>
              <w:bottom w:val="single" w:color="auto" w:sz="4" w:space="0"/>
              <w:right w:val="single" w:color="000000" w:sz="4" w:space="0"/>
            </w:tcBorders>
            <w:shd w:val="clear" w:color="auto" w:fill="auto"/>
            <w:vAlign w:val="center"/>
          </w:tcPr>
          <w:p>
            <w:pPr>
              <w:widowControl/>
              <w:spacing w:line="30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w:t>
            </w:r>
          </w:p>
        </w:tc>
        <w:tc>
          <w:tcPr>
            <w:tcW w:w="567"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spacing w:line="30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100</w:t>
            </w:r>
          </w:p>
        </w:tc>
        <w:tc>
          <w:tcPr>
            <w:tcW w:w="567"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spacing w:line="30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w:t>
            </w:r>
          </w:p>
        </w:tc>
        <w:tc>
          <w:tcPr>
            <w:tcW w:w="567"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spacing w:line="30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6%</w:t>
            </w:r>
          </w:p>
        </w:tc>
        <w:tc>
          <w:tcPr>
            <w:tcW w:w="3304"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spacing w:line="300" w:lineRule="exact"/>
              <w:ind w:firstLine="0" w:firstLineChars="0"/>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全年足额发放了人员工资，并缴纳保险。</w:t>
            </w:r>
          </w:p>
        </w:tc>
      </w:tr>
      <w:tr>
        <w:tblPrEx>
          <w:tblCellMar>
            <w:top w:w="15" w:type="dxa"/>
            <w:left w:w="15" w:type="dxa"/>
            <w:bottom w:w="15" w:type="dxa"/>
            <w:right w:w="15" w:type="dxa"/>
          </w:tblCellMar>
        </w:tblPrEx>
        <w:trPr>
          <w:trHeight w:val="688" w:hRule="atLeast"/>
          <w:jc w:val="center"/>
        </w:trPr>
        <w:tc>
          <w:tcPr>
            <w:tcW w:w="12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ind w:firstLine="420"/>
              <w:jc w:val="center"/>
              <w:rPr>
                <w:rFonts w:ascii="宋体" w:hAnsi="宋体" w:eastAsia="宋体" w:cs="宋体"/>
                <w:color w:val="000000"/>
                <w:sz w:val="21"/>
                <w:szCs w:val="21"/>
              </w:rPr>
            </w:pPr>
          </w:p>
        </w:tc>
        <w:tc>
          <w:tcPr>
            <w:tcW w:w="6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ind w:firstLine="420"/>
              <w:jc w:val="center"/>
              <w:rPr>
                <w:rFonts w:ascii="宋体" w:hAnsi="宋体" w:eastAsia="宋体" w:cs="宋体"/>
                <w:color w:val="000000"/>
                <w:sz w:val="21"/>
                <w:szCs w:val="21"/>
              </w:rPr>
            </w:pPr>
          </w:p>
        </w:tc>
        <w:tc>
          <w:tcPr>
            <w:tcW w:w="567" w:type="dxa"/>
            <w:vMerge w:val="continue"/>
            <w:tcBorders>
              <w:left w:val="single" w:color="auto" w:sz="4" w:space="0"/>
              <w:bottom w:val="single" w:color="auto" w:sz="4" w:space="0"/>
              <w:right w:val="single" w:color="auto" w:sz="4" w:space="0"/>
            </w:tcBorders>
            <w:shd w:val="clear" w:color="auto" w:fill="auto"/>
            <w:vAlign w:val="center"/>
          </w:tcPr>
          <w:p>
            <w:pPr>
              <w:widowControl/>
              <w:spacing w:line="300" w:lineRule="exact"/>
              <w:ind w:firstLine="420"/>
              <w:jc w:val="center"/>
              <w:textAlignment w:val="center"/>
              <w:rPr>
                <w:rFonts w:ascii="宋体" w:hAnsi="宋体" w:eastAsia="宋体" w:cs="宋体"/>
                <w:color w:val="000000"/>
                <w:kern w:val="0"/>
                <w:sz w:val="21"/>
                <w:szCs w:val="21"/>
              </w:rPr>
            </w:pPr>
          </w:p>
        </w:tc>
        <w:tc>
          <w:tcPr>
            <w:tcW w:w="229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保障教练车辆机械事故发生率</w:t>
            </w:r>
          </w:p>
        </w:tc>
        <w:tc>
          <w:tcPr>
            <w:tcW w:w="567" w:type="dxa"/>
            <w:tcBorders>
              <w:top w:val="single" w:color="auto" w:sz="4" w:space="0"/>
              <w:left w:val="single" w:color="auto" w:sz="4" w:space="0"/>
              <w:bottom w:val="single" w:color="auto" w:sz="4" w:space="0"/>
              <w:right w:val="single" w:color="000000" w:sz="4" w:space="0"/>
            </w:tcBorders>
            <w:shd w:val="clear" w:color="auto" w:fill="auto"/>
            <w:vAlign w:val="center"/>
          </w:tcPr>
          <w:p>
            <w:pPr>
              <w:widowControl/>
              <w:spacing w:line="30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w:t>
            </w:r>
          </w:p>
        </w:tc>
        <w:tc>
          <w:tcPr>
            <w:tcW w:w="567"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spacing w:line="30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10</w:t>
            </w:r>
          </w:p>
        </w:tc>
        <w:tc>
          <w:tcPr>
            <w:tcW w:w="567"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spacing w:line="30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w:t>
            </w:r>
          </w:p>
        </w:tc>
        <w:tc>
          <w:tcPr>
            <w:tcW w:w="567"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spacing w:line="30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4%</w:t>
            </w:r>
          </w:p>
        </w:tc>
        <w:tc>
          <w:tcPr>
            <w:tcW w:w="3304"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spacing w:line="300" w:lineRule="exact"/>
              <w:ind w:firstLine="0" w:firstLineChars="0"/>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全年未发生车辆机械事故。</w:t>
            </w:r>
          </w:p>
        </w:tc>
      </w:tr>
      <w:tr>
        <w:tblPrEx>
          <w:tblCellMar>
            <w:top w:w="15" w:type="dxa"/>
            <w:left w:w="15" w:type="dxa"/>
            <w:bottom w:w="15" w:type="dxa"/>
            <w:right w:w="15" w:type="dxa"/>
          </w:tblCellMar>
        </w:tblPrEx>
        <w:trPr>
          <w:trHeight w:val="640" w:hRule="atLeast"/>
          <w:jc w:val="center"/>
        </w:trPr>
        <w:tc>
          <w:tcPr>
            <w:tcW w:w="12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ind w:firstLine="420"/>
              <w:jc w:val="center"/>
              <w:rPr>
                <w:rFonts w:ascii="宋体" w:hAnsi="宋体" w:eastAsia="宋体" w:cs="宋体"/>
                <w:color w:val="000000"/>
                <w:sz w:val="21"/>
                <w:szCs w:val="21"/>
              </w:rPr>
            </w:pPr>
          </w:p>
        </w:tc>
        <w:tc>
          <w:tcPr>
            <w:tcW w:w="6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ind w:firstLine="0" w:firstLineChars="0"/>
              <w:jc w:val="center"/>
              <w:textAlignment w:val="center"/>
              <w:rPr>
                <w:rFonts w:ascii="宋体" w:hAnsi="宋体" w:eastAsia="宋体" w:cs="宋体"/>
                <w:color w:val="000000"/>
                <w:kern w:val="0"/>
                <w:sz w:val="21"/>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时效指标</w:t>
            </w:r>
          </w:p>
        </w:tc>
        <w:tc>
          <w:tcPr>
            <w:tcW w:w="229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完成时间</w:t>
            </w:r>
          </w:p>
        </w:tc>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w:t>
            </w:r>
          </w:p>
        </w:tc>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2023</w:t>
            </w:r>
          </w:p>
        </w:tc>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年</w:t>
            </w:r>
          </w:p>
        </w:tc>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4%</w:t>
            </w:r>
          </w:p>
        </w:tc>
        <w:tc>
          <w:tcPr>
            <w:tcW w:w="33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ind w:firstLine="0" w:firstLineChars="0"/>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按时完成</w:t>
            </w:r>
          </w:p>
        </w:tc>
      </w:tr>
      <w:tr>
        <w:tblPrEx>
          <w:tblCellMar>
            <w:top w:w="15" w:type="dxa"/>
            <w:left w:w="15" w:type="dxa"/>
            <w:bottom w:w="15" w:type="dxa"/>
            <w:right w:w="15" w:type="dxa"/>
          </w:tblCellMar>
        </w:tblPrEx>
        <w:trPr>
          <w:trHeight w:val="23" w:hRule="atLeast"/>
          <w:jc w:val="center"/>
        </w:trPr>
        <w:tc>
          <w:tcPr>
            <w:tcW w:w="12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ind w:firstLine="420"/>
              <w:jc w:val="center"/>
              <w:rPr>
                <w:rFonts w:ascii="宋体" w:hAnsi="宋体" w:eastAsia="宋体" w:cs="宋体"/>
                <w:color w:val="000000"/>
                <w:sz w:val="21"/>
                <w:szCs w:val="21"/>
              </w:rPr>
            </w:pPr>
          </w:p>
        </w:tc>
        <w:tc>
          <w:tcPr>
            <w:tcW w:w="63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效益指标</w:t>
            </w:r>
          </w:p>
        </w:tc>
        <w:tc>
          <w:tcPr>
            <w:tcW w:w="567" w:type="dxa"/>
            <w:vMerge w:val="restart"/>
            <w:tcBorders>
              <w:top w:val="single" w:color="auto" w:sz="4" w:space="0"/>
              <w:left w:val="single" w:color="auto" w:sz="4" w:space="0"/>
              <w:right w:val="single" w:color="000000" w:sz="4" w:space="0"/>
            </w:tcBorders>
            <w:shd w:val="clear" w:color="auto" w:fill="auto"/>
            <w:vAlign w:val="center"/>
          </w:tcPr>
          <w:p>
            <w:pPr>
              <w:widowControl/>
              <w:spacing w:line="32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社会效益指标</w:t>
            </w:r>
          </w:p>
        </w:tc>
        <w:tc>
          <w:tcPr>
            <w:tcW w:w="2298"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spacing w:line="32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通过各项技能培训，提高技能，增强就业</w:t>
            </w:r>
          </w:p>
        </w:tc>
        <w:tc>
          <w:tcPr>
            <w:tcW w:w="567"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spacing w:line="32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w:t>
            </w:r>
          </w:p>
        </w:tc>
        <w:tc>
          <w:tcPr>
            <w:tcW w:w="567"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spacing w:line="32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500</w:t>
            </w:r>
          </w:p>
        </w:tc>
        <w:tc>
          <w:tcPr>
            <w:tcW w:w="567"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spacing w:line="32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人</w:t>
            </w:r>
          </w:p>
        </w:tc>
        <w:tc>
          <w:tcPr>
            <w:tcW w:w="567"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spacing w:line="32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6%</w:t>
            </w:r>
          </w:p>
        </w:tc>
        <w:tc>
          <w:tcPr>
            <w:tcW w:w="3304"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spacing w:line="320" w:lineRule="exact"/>
              <w:ind w:firstLine="0" w:firstLineChars="0"/>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从事网约车.出租车，不少于500人</w:t>
            </w:r>
          </w:p>
        </w:tc>
      </w:tr>
      <w:tr>
        <w:tblPrEx>
          <w:tblCellMar>
            <w:top w:w="15" w:type="dxa"/>
            <w:left w:w="15" w:type="dxa"/>
            <w:bottom w:w="15" w:type="dxa"/>
            <w:right w:w="15" w:type="dxa"/>
          </w:tblCellMar>
        </w:tblPrEx>
        <w:trPr>
          <w:trHeight w:val="23" w:hRule="atLeast"/>
          <w:jc w:val="center"/>
        </w:trPr>
        <w:tc>
          <w:tcPr>
            <w:tcW w:w="12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ind w:firstLine="420"/>
              <w:jc w:val="center"/>
              <w:rPr>
                <w:rFonts w:ascii="宋体" w:hAnsi="宋体" w:eastAsia="宋体" w:cs="宋体"/>
                <w:color w:val="000000"/>
                <w:sz w:val="21"/>
                <w:szCs w:val="21"/>
              </w:rPr>
            </w:pPr>
          </w:p>
        </w:tc>
        <w:tc>
          <w:tcPr>
            <w:tcW w:w="6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ind w:firstLine="420"/>
              <w:jc w:val="center"/>
              <w:rPr>
                <w:rFonts w:ascii="宋体" w:hAnsi="宋体" w:eastAsia="宋体" w:cs="宋体"/>
                <w:color w:val="000000"/>
                <w:sz w:val="21"/>
                <w:szCs w:val="21"/>
              </w:rPr>
            </w:pPr>
          </w:p>
        </w:tc>
        <w:tc>
          <w:tcPr>
            <w:tcW w:w="567" w:type="dxa"/>
            <w:vMerge w:val="continue"/>
            <w:tcBorders>
              <w:top w:val="single" w:color="000000" w:sz="4" w:space="0"/>
              <w:left w:val="single" w:color="auto" w:sz="4" w:space="0"/>
              <w:right w:val="single" w:color="000000" w:sz="4" w:space="0"/>
            </w:tcBorders>
            <w:shd w:val="clear" w:color="auto" w:fill="auto"/>
            <w:vAlign w:val="center"/>
          </w:tcPr>
          <w:p>
            <w:pPr>
              <w:widowControl/>
              <w:spacing w:line="320" w:lineRule="exact"/>
              <w:ind w:firstLine="420"/>
              <w:jc w:val="center"/>
              <w:rPr>
                <w:rFonts w:ascii="宋体" w:hAnsi="宋体" w:eastAsia="宋体" w:cs="宋体"/>
                <w:color w:val="000000"/>
                <w:sz w:val="21"/>
                <w:szCs w:val="21"/>
              </w:rPr>
            </w:pPr>
          </w:p>
        </w:tc>
        <w:tc>
          <w:tcPr>
            <w:tcW w:w="22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落实乡村振兴政策，为群众服好务</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100</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6%</w:t>
            </w:r>
          </w:p>
        </w:tc>
        <w:tc>
          <w:tcPr>
            <w:tcW w:w="33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ind w:firstLine="0" w:firstLineChars="0"/>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积极宣传乡村振兴政策；主动倾听群众诉求；扎实推进产业发展，生态建设等，切实为群众服好务。助力乡村振兴。</w:t>
            </w:r>
          </w:p>
        </w:tc>
      </w:tr>
      <w:tr>
        <w:tblPrEx>
          <w:tblCellMar>
            <w:top w:w="15" w:type="dxa"/>
            <w:left w:w="15" w:type="dxa"/>
            <w:bottom w:w="15" w:type="dxa"/>
            <w:right w:w="15" w:type="dxa"/>
          </w:tblCellMar>
        </w:tblPrEx>
        <w:trPr>
          <w:trHeight w:val="23" w:hRule="atLeast"/>
          <w:jc w:val="center"/>
        </w:trPr>
        <w:tc>
          <w:tcPr>
            <w:tcW w:w="12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ind w:firstLine="420"/>
              <w:jc w:val="center"/>
              <w:rPr>
                <w:rFonts w:ascii="宋体" w:hAnsi="宋体" w:eastAsia="宋体" w:cs="宋体"/>
                <w:color w:val="000000"/>
                <w:sz w:val="21"/>
                <w:szCs w:val="21"/>
              </w:rPr>
            </w:pPr>
          </w:p>
        </w:tc>
        <w:tc>
          <w:tcPr>
            <w:tcW w:w="6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ind w:firstLine="0" w:firstLineChars="0"/>
              <w:jc w:val="center"/>
              <w:textAlignment w:val="center"/>
              <w:rPr>
                <w:rFonts w:ascii="宋体" w:hAnsi="宋体" w:eastAsia="宋体" w:cs="宋体"/>
                <w:color w:val="000000"/>
                <w:kern w:val="0"/>
                <w:sz w:val="21"/>
                <w:szCs w:val="21"/>
              </w:rPr>
            </w:pPr>
          </w:p>
        </w:tc>
        <w:tc>
          <w:tcPr>
            <w:tcW w:w="567" w:type="dxa"/>
            <w:tcBorders>
              <w:top w:val="single" w:color="000000" w:sz="4" w:space="0"/>
              <w:left w:val="single" w:color="auto" w:sz="4" w:space="0"/>
              <w:bottom w:val="single" w:color="000000" w:sz="4" w:space="0"/>
              <w:right w:val="single" w:color="000000" w:sz="4" w:space="0"/>
            </w:tcBorders>
            <w:shd w:val="clear" w:color="auto" w:fill="auto"/>
            <w:vAlign w:val="center"/>
          </w:tcPr>
          <w:p>
            <w:pPr>
              <w:widowControl/>
              <w:spacing w:line="32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经济效益指标</w:t>
            </w:r>
          </w:p>
        </w:tc>
        <w:tc>
          <w:tcPr>
            <w:tcW w:w="22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完成非税收入</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648</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万元</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8%</w:t>
            </w:r>
          </w:p>
        </w:tc>
        <w:tc>
          <w:tcPr>
            <w:tcW w:w="33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ind w:firstLine="0" w:firstLineChars="0"/>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2023年8月底单位涉改后，无非税收入，完成395.42万元。</w:t>
            </w:r>
          </w:p>
        </w:tc>
      </w:tr>
      <w:tr>
        <w:tblPrEx>
          <w:tblCellMar>
            <w:top w:w="15" w:type="dxa"/>
            <w:left w:w="15" w:type="dxa"/>
            <w:bottom w:w="15" w:type="dxa"/>
            <w:right w:w="15" w:type="dxa"/>
          </w:tblCellMar>
        </w:tblPrEx>
        <w:trPr>
          <w:trHeight w:val="576" w:hRule="atLeast"/>
          <w:jc w:val="center"/>
        </w:trPr>
        <w:tc>
          <w:tcPr>
            <w:tcW w:w="12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ind w:firstLine="420"/>
              <w:jc w:val="center"/>
              <w:rPr>
                <w:rFonts w:ascii="宋体" w:hAnsi="宋体" w:eastAsia="宋体" w:cs="宋体"/>
                <w:color w:val="000000"/>
                <w:sz w:val="21"/>
                <w:szCs w:val="21"/>
              </w:rPr>
            </w:pPr>
          </w:p>
        </w:tc>
        <w:tc>
          <w:tcPr>
            <w:tcW w:w="63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满意度指标</w:t>
            </w:r>
          </w:p>
        </w:tc>
        <w:tc>
          <w:tcPr>
            <w:tcW w:w="567" w:type="dxa"/>
            <w:vMerge w:val="restart"/>
            <w:tcBorders>
              <w:top w:val="single" w:color="000000" w:sz="4" w:space="0"/>
              <w:left w:val="single" w:color="auto" w:sz="4" w:space="0"/>
              <w:right w:val="single" w:color="000000" w:sz="4" w:space="0"/>
            </w:tcBorders>
            <w:shd w:val="clear" w:color="auto" w:fill="auto"/>
            <w:vAlign w:val="center"/>
          </w:tcPr>
          <w:p>
            <w:pPr>
              <w:widowControl/>
              <w:spacing w:line="32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满意度指标</w:t>
            </w:r>
          </w:p>
        </w:tc>
        <w:tc>
          <w:tcPr>
            <w:tcW w:w="2298"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spacing w:line="32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帮扶群众满意度</w:t>
            </w:r>
          </w:p>
        </w:tc>
        <w:tc>
          <w:tcPr>
            <w:tcW w:w="567"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spacing w:line="32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w:t>
            </w:r>
          </w:p>
        </w:tc>
        <w:tc>
          <w:tcPr>
            <w:tcW w:w="567"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spacing w:line="32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95</w:t>
            </w:r>
          </w:p>
        </w:tc>
        <w:tc>
          <w:tcPr>
            <w:tcW w:w="567"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spacing w:line="32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w:t>
            </w:r>
          </w:p>
        </w:tc>
        <w:tc>
          <w:tcPr>
            <w:tcW w:w="567"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spacing w:line="32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5%</w:t>
            </w:r>
          </w:p>
        </w:tc>
        <w:tc>
          <w:tcPr>
            <w:tcW w:w="3304"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spacing w:line="320" w:lineRule="exact"/>
              <w:ind w:firstLine="0" w:firstLineChars="0"/>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群众满意度超过95%</w:t>
            </w:r>
          </w:p>
        </w:tc>
      </w:tr>
      <w:tr>
        <w:tblPrEx>
          <w:tblCellMar>
            <w:top w:w="15" w:type="dxa"/>
            <w:left w:w="15" w:type="dxa"/>
            <w:bottom w:w="15" w:type="dxa"/>
            <w:right w:w="15" w:type="dxa"/>
          </w:tblCellMar>
        </w:tblPrEx>
        <w:trPr>
          <w:trHeight w:val="691" w:hRule="atLeast"/>
          <w:jc w:val="center"/>
        </w:trPr>
        <w:tc>
          <w:tcPr>
            <w:tcW w:w="12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ind w:firstLine="420"/>
              <w:jc w:val="center"/>
              <w:rPr>
                <w:rFonts w:ascii="宋体" w:hAnsi="宋体" w:eastAsia="宋体" w:cs="宋体"/>
                <w:color w:val="000000"/>
                <w:sz w:val="21"/>
                <w:szCs w:val="21"/>
              </w:rPr>
            </w:pPr>
          </w:p>
        </w:tc>
        <w:tc>
          <w:tcPr>
            <w:tcW w:w="6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ind w:firstLine="0" w:firstLineChars="0"/>
              <w:jc w:val="center"/>
              <w:textAlignment w:val="center"/>
              <w:rPr>
                <w:rFonts w:ascii="宋体" w:hAnsi="宋体" w:eastAsia="宋体" w:cs="宋体"/>
                <w:color w:val="000000"/>
                <w:kern w:val="0"/>
                <w:sz w:val="21"/>
                <w:szCs w:val="21"/>
              </w:rPr>
            </w:pPr>
          </w:p>
        </w:tc>
        <w:tc>
          <w:tcPr>
            <w:tcW w:w="567" w:type="dxa"/>
            <w:vMerge w:val="continue"/>
            <w:tcBorders>
              <w:left w:val="single" w:color="auto" w:sz="4" w:space="0"/>
              <w:bottom w:val="single" w:color="000000" w:sz="4" w:space="0"/>
              <w:right w:val="single" w:color="000000" w:sz="4" w:space="0"/>
            </w:tcBorders>
            <w:shd w:val="clear" w:color="auto" w:fill="auto"/>
            <w:vAlign w:val="center"/>
          </w:tcPr>
          <w:p>
            <w:pPr>
              <w:widowControl/>
              <w:spacing w:line="320" w:lineRule="exact"/>
              <w:ind w:firstLine="0" w:firstLineChars="0"/>
              <w:jc w:val="center"/>
              <w:textAlignment w:val="center"/>
              <w:rPr>
                <w:rFonts w:ascii="宋体" w:hAnsi="宋体" w:eastAsia="宋体" w:cs="宋体"/>
                <w:color w:val="000000"/>
                <w:kern w:val="0"/>
                <w:sz w:val="21"/>
                <w:szCs w:val="21"/>
              </w:rPr>
            </w:pPr>
          </w:p>
        </w:tc>
        <w:tc>
          <w:tcPr>
            <w:tcW w:w="2298"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spacing w:line="32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学员、教职员工满意度</w:t>
            </w:r>
          </w:p>
        </w:tc>
        <w:tc>
          <w:tcPr>
            <w:tcW w:w="567"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spacing w:line="32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w:t>
            </w:r>
          </w:p>
        </w:tc>
        <w:tc>
          <w:tcPr>
            <w:tcW w:w="567"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spacing w:line="32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95</w:t>
            </w:r>
          </w:p>
        </w:tc>
        <w:tc>
          <w:tcPr>
            <w:tcW w:w="567"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spacing w:line="32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w:t>
            </w:r>
          </w:p>
        </w:tc>
        <w:tc>
          <w:tcPr>
            <w:tcW w:w="567"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spacing w:line="32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5%</w:t>
            </w:r>
          </w:p>
        </w:tc>
        <w:tc>
          <w:tcPr>
            <w:tcW w:w="3304"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spacing w:line="320" w:lineRule="exact"/>
              <w:ind w:firstLine="0" w:firstLineChars="0"/>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学员、教职员工满意度超过95%。</w:t>
            </w:r>
          </w:p>
        </w:tc>
      </w:tr>
      <w:tr>
        <w:tblPrEx>
          <w:tblCellMar>
            <w:top w:w="15" w:type="dxa"/>
            <w:left w:w="15" w:type="dxa"/>
            <w:bottom w:w="15" w:type="dxa"/>
            <w:right w:w="15" w:type="dxa"/>
          </w:tblCellMar>
        </w:tblPrEx>
        <w:trPr>
          <w:trHeight w:val="550" w:hRule="atLeast"/>
          <w:jc w:val="center"/>
        </w:trPr>
        <w:tc>
          <w:tcPr>
            <w:tcW w:w="12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ind w:firstLine="420"/>
              <w:jc w:val="center"/>
              <w:rPr>
                <w:rFonts w:ascii="宋体" w:hAnsi="宋体" w:eastAsia="宋体" w:cs="宋体"/>
                <w:color w:val="000000"/>
                <w:sz w:val="21"/>
                <w:szCs w:val="21"/>
              </w:rPr>
            </w:pPr>
          </w:p>
        </w:tc>
        <w:tc>
          <w:tcPr>
            <w:tcW w:w="63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成本指标</w:t>
            </w:r>
          </w:p>
        </w:tc>
        <w:tc>
          <w:tcPr>
            <w:tcW w:w="567" w:type="dxa"/>
            <w:vMerge w:val="restart"/>
            <w:tcBorders>
              <w:top w:val="single" w:color="000000" w:sz="4" w:space="0"/>
              <w:left w:val="single" w:color="auto" w:sz="4" w:space="0"/>
              <w:right w:val="single" w:color="000000" w:sz="4" w:space="0"/>
            </w:tcBorders>
            <w:shd w:val="clear" w:color="auto" w:fill="auto"/>
            <w:vAlign w:val="center"/>
          </w:tcPr>
          <w:p>
            <w:pPr>
              <w:spacing w:line="32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经济成本指标</w:t>
            </w:r>
          </w:p>
        </w:tc>
        <w:tc>
          <w:tcPr>
            <w:tcW w:w="2298"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spacing w:line="32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按时发放人员工资，缴纳各项保险等</w:t>
            </w:r>
          </w:p>
        </w:tc>
        <w:tc>
          <w:tcPr>
            <w:tcW w:w="567"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spacing w:line="32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w:t>
            </w:r>
          </w:p>
        </w:tc>
        <w:tc>
          <w:tcPr>
            <w:tcW w:w="567"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spacing w:line="32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316.25</w:t>
            </w:r>
          </w:p>
        </w:tc>
        <w:tc>
          <w:tcPr>
            <w:tcW w:w="567"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spacing w:line="32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万元</w:t>
            </w:r>
          </w:p>
        </w:tc>
        <w:tc>
          <w:tcPr>
            <w:tcW w:w="567"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spacing w:line="32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5%</w:t>
            </w:r>
          </w:p>
        </w:tc>
        <w:tc>
          <w:tcPr>
            <w:tcW w:w="3304"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spacing w:line="320" w:lineRule="exact"/>
              <w:ind w:firstLine="0" w:firstLineChars="0"/>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完成332.28万元</w:t>
            </w:r>
          </w:p>
        </w:tc>
      </w:tr>
      <w:tr>
        <w:tblPrEx>
          <w:tblCellMar>
            <w:top w:w="15" w:type="dxa"/>
            <w:left w:w="15" w:type="dxa"/>
            <w:bottom w:w="15" w:type="dxa"/>
            <w:right w:w="15" w:type="dxa"/>
          </w:tblCellMar>
        </w:tblPrEx>
        <w:trPr>
          <w:trHeight w:val="772" w:hRule="atLeast"/>
          <w:jc w:val="center"/>
        </w:trPr>
        <w:tc>
          <w:tcPr>
            <w:tcW w:w="12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ind w:firstLine="420"/>
              <w:jc w:val="center"/>
              <w:rPr>
                <w:rFonts w:ascii="宋体" w:hAnsi="宋体" w:eastAsia="宋体" w:cs="宋体"/>
                <w:color w:val="000000"/>
                <w:sz w:val="21"/>
                <w:szCs w:val="21"/>
              </w:rPr>
            </w:pPr>
          </w:p>
        </w:tc>
        <w:tc>
          <w:tcPr>
            <w:tcW w:w="6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ind w:firstLine="420"/>
              <w:jc w:val="center"/>
              <w:textAlignment w:val="center"/>
              <w:rPr>
                <w:rFonts w:ascii="宋体" w:hAnsi="宋体" w:eastAsia="宋体" w:cs="宋体"/>
                <w:color w:val="000000"/>
                <w:kern w:val="0"/>
                <w:sz w:val="21"/>
                <w:szCs w:val="21"/>
              </w:rPr>
            </w:pPr>
          </w:p>
        </w:tc>
        <w:tc>
          <w:tcPr>
            <w:tcW w:w="567" w:type="dxa"/>
            <w:vMerge w:val="continue"/>
            <w:tcBorders>
              <w:top w:val="single" w:color="000000" w:sz="4" w:space="0"/>
              <w:left w:val="single" w:color="auto" w:sz="4" w:space="0"/>
              <w:right w:val="single" w:color="000000" w:sz="4" w:space="0"/>
            </w:tcBorders>
            <w:shd w:val="clear" w:color="auto" w:fill="auto"/>
            <w:vAlign w:val="center"/>
          </w:tcPr>
          <w:p>
            <w:pPr>
              <w:spacing w:line="320" w:lineRule="exact"/>
              <w:ind w:firstLine="420"/>
              <w:jc w:val="center"/>
              <w:textAlignment w:val="center"/>
              <w:rPr>
                <w:rFonts w:ascii="宋体" w:hAnsi="宋体" w:eastAsia="宋体" w:cs="宋体"/>
                <w:color w:val="000000"/>
                <w:kern w:val="0"/>
                <w:sz w:val="21"/>
                <w:szCs w:val="21"/>
              </w:rPr>
            </w:pPr>
          </w:p>
        </w:tc>
        <w:tc>
          <w:tcPr>
            <w:tcW w:w="2298"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spacing w:line="32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公用经费</w:t>
            </w:r>
          </w:p>
        </w:tc>
        <w:tc>
          <w:tcPr>
            <w:tcW w:w="567"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spacing w:line="32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w:t>
            </w:r>
          </w:p>
        </w:tc>
        <w:tc>
          <w:tcPr>
            <w:tcW w:w="567"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spacing w:line="32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31.45</w:t>
            </w:r>
          </w:p>
        </w:tc>
        <w:tc>
          <w:tcPr>
            <w:tcW w:w="567"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spacing w:line="32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万元</w:t>
            </w:r>
          </w:p>
        </w:tc>
        <w:tc>
          <w:tcPr>
            <w:tcW w:w="567"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spacing w:line="32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5%</w:t>
            </w:r>
          </w:p>
        </w:tc>
        <w:tc>
          <w:tcPr>
            <w:tcW w:w="3304"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spacing w:line="320" w:lineRule="exact"/>
              <w:ind w:firstLine="0" w:firstLineChars="0"/>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完成27.76万元</w:t>
            </w:r>
          </w:p>
        </w:tc>
      </w:tr>
      <w:tr>
        <w:tblPrEx>
          <w:tblCellMar>
            <w:top w:w="15" w:type="dxa"/>
            <w:left w:w="15" w:type="dxa"/>
            <w:bottom w:w="15" w:type="dxa"/>
            <w:right w:w="15" w:type="dxa"/>
          </w:tblCellMar>
        </w:tblPrEx>
        <w:trPr>
          <w:trHeight w:val="611" w:hRule="atLeast"/>
          <w:jc w:val="center"/>
        </w:trPr>
        <w:tc>
          <w:tcPr>
            <w:tcW w:w="12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ind w:firstLine="420"/>
              <w:jc w:val="center"/>
              <w:rPr>
                <w:rFonts w:ascii="宋体" w:hAnsi="宋体" w:eastAsia="宋体" w:cs="宋体"/>
                <w:color w:val="000000"/>
                <w:sz w:val="21"/>
                <w:szCs w:val="21"/>
              </w:rPr>
            </w:pPr>
          </w:p>
        </w:tc>
        <w:tc>
          <w:tcPr>
            <w:tcW w:w="6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ind w:firstLine="420"/>
              <w:jc w:val="center"/>
              <w:textAlignment w:val="center"/>
              <w:rPr>
                <w:rFonts w:ascii="宋体" w:hAnsi="宋体" w:eastAsia="宋体" w:cs="宋体"/>
                <w:color w:val="000000"/>
                <w:kern w:val="0"/>
                <w:sz w:val="21"/>
                <w:szCs w:val="21"/>
              </w:rPr>
            </w:pPr>
          </w:p>
        </w:tc>
        <w:tc>
          <w:tcPr>
            <w:tcW w:w="567" w:type="dxa"/>
            <w:vMerge w:val="continue"/>
            <w:tcBorders>
              <w:top w:val="single" w:color="000000" w:sz="4" w:space="0"/>
              <w:left w:val="single" w:color="auto" w:sz="4" w:space="0"/>
              <w:right w:val="single" w:color="000000" w:sz="4" w:space="0"/>
            </w:tcBorders>
            <w:shd w:val="clear" w:color="auto" w:fill="auto"/>
            <w:vAlign w:val="center"/>
          </w:tcPr>
          <w:p>
            <w:pPr>
              <w:spacing w:line="320" w:lineRule="exact"/>
              <w:ind w:firstLine="420"/>
              <w:jc w:val="center"/>
              <w:textAlignment w:val="center"/>
              <w:rPr>
                <w:rFonts w:ascii="宋体" w:hAnsi="宋体" w:eastAsia="宋体" w:cs="宋体"/>
                <w:color w:val="000000"/>
                <w:kern w:val="0"/>
                <w:sz w:val="21"/>
                <w:szCs w:val="21"/>
              </w:rPr>
            </w:pPr>
          </w:p>
        </w:tc>
        <w:tc>
          <w:tcPr>
            <w:tcW w:w="2298"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spacing w:line="32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合理安排工作经费，完成驻村人员生活补贴发放</w:t>
            </w:r>
          </w:p>
        </w:tc>
        <w:tc>
          <w:tcPr>
            <w:tcW w:w="567"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spacing w:line="32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w:t>
            </w:r>
          </w:p>
        </w:tc>
        <w:tc>
          <w:tcPr>
            <w:tcW w:w="567"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spacing w:line="32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1.82</w:t>
            </w:r>
          </w:p>
        </w:tc>
        <w:tc>
          <w:tcPr>
            <w:tcW w:w="567"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spacing w:line="32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万元</w:t>
            </w:r>
          </w:p>
        </w:tc>
        <w:tc>
          <w:tcPr>
            <w:tcW w:w="567"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spacing w:line="32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5%</w:t>
            </w:r>
          </w:p>
        </w:tc>
        <w:tc>
          <w:tcPr>
            <w:tcW w:w="3304"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spacing w:line="320" w:lineRule="exact"/>
              <w:ind w:firstLine="0" w:firstLineChars="0"/>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完成3.07万元</w:t>
            </w:r>
          </w:p>
        </w:tc>
      </w:tr>
      <w:tr>
        <w:tblPrEx>
          <w:tblCellMar>
            <w:top w:w="15" w:type="dxa"/>
            <w:left w:w="15" w:type="dxa"/>
            <w:bottom w:w="15" w:type="dxa"/>
            <w:right w:w="15" w:type="dxa"/>
          </w:tblCellMar>
        </w:tblPrEx>
        <w:trPr>
          <w:trHeight w:val="979" w:hRule="atLeast"/>
          <w:jc w:val="center"/>
        </w:trPr>
        <w:tc>
          <w:tcPr>
            <w:tcW w:w="12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ind w:firstLine="420"/>
              <w:jc w:val="center"/>
              <w:rPr>
                <w:rFonts w:ascii="宋体" w:hAnsi="宋体" w:eastAsia="宋体" w:cs="宋体"/>
                <w:color w:val="000000"/>
                <w:sz w:val="21"/>
                <w:szCs w:val="21"/>
              </w:rPr>
            </w:pPr>
          </w:p>
        </w:tc>
        <w:tc>
          <w:tcPr>
            <w:tcW w:w="63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20" w:lineRule="exact"/>
              <w:ind w:firstLine="420"/>
              <w:jc w:val="center"/>
              <w:textAlignment w:val="center"/>
              <w:rPr>
                <w:rFonts w:ascii="宋体" w:hAnsi="宋体" w:eastAsia="宋体" w:cs="宋体"/>
                <w:color w:val="000000"/>
                <w:kern w:val="0"/>
                <w:sz w:val="21"/>
                <w:szCs w:val="21"/>
              </w:rPr>
            </w:pPr>
          </w:p>
        </w:tc>
        <w:tc>
          <w:tcPr>
            <w:tcW w:w="567" w:type="dxa"/>
            <w:vMerge w:val="continue"/>
            <w:tcBorders>
              <w:left w:val="single" w:color="auto" w:sz="4" w:space="0"/>
              <w:bottom w:val="single" w:color="auto" w:sz="4" w:space="0"/>
              <w:right w:val="single" w:color="000000" w:sz="4" w:space="0"/>
            </w:tcBorders>
            <w:shd w:val="clear" w:color="auto" w:fill="auto"/>
            <w:vAlign w:val="center"/>
          </w:tcPr>
          <w:p>
            <w:pPr>
              <w:spacing w:line="320" w:lineRule="exact"/>
              <w:ind w:firstLine="420"/>
              <w:jc w:val="center"/>
              <w:textAlignment w:val="center"/>
              <w:rPr>
                <w:rFonts w:ascii="宋体" w:hAnsi="宋体" w:eastAsia="宋体" w:cs="宋体"/>
                <w:color w:val="000000"/>
                <w:kern w:val="0"/>
                <w:sz w:val="21"/>
                <w:szCs w:val="21"/>
              </w:rPr>
            </w:pPr>
          </w:p>
        </w:tc>
        <w:tc>
          <w:tcPr>
            <w:tcW w:w="2298"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spacing w:line="32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开展学员技能培训工作经费，并控制成本</w:t>
            </w:r>
          </w:p>
        </w:tc>
        <w:tc>
          <w:tcPr>
            <w:tcW w:w="567"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spacing w:line="32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w:t>
            </w:r>
          </w:p>
        </w:tc>
        <w:tc>
          <w:tcPr>
            <w:tcW w:w="567"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spacing w:line="32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297.68</w:t>
            </w:r>
          </w:p>
        </w:tc>
        <w:tc>
          <w:tcPr>
            <w:tcW w:w="567"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spacing w:line="32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万元</w:t>
            </w:r>
          </w:p>
        </w:tc>
        <w:tc>
          <w:tcPr>
            <w:tcW w:w="567"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spacing w:line="320" w:lineRule="exact"/>
              <w:ind w:firstLine="0" w:firstLineChars="0"/>
              <w:jc w:val="center"/>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5%</w:t>
            </w:r>
          </w:p>
        </w:tc>
        <w:tc>
          <w:tcPr>
            <w:tcW w:w="3304"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spacing w:line="320" w:lineRule="exact"/>
              <w:ind w:firstLine="0" w:firstLineChars="0"/>
              <w:textAlignment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完成259.66万元，8月份改制。不再支付聘用人员工保险等。</w:t>
            </w:r>
          </w:p>
        </w:tc>
      </w:tr>
    </w:tbl>
    <w:p>
      <w:pPr>
        <w:pStyle w:val="7"/>
        <w:ind w:left="0" w:leftChars="0" w:firstLine="0" w:firstLineChars="0"/>
        <w:rPr>
          <w:rFonts w:ascii="Times New Roman" w:eastAsia="黑体"/>
          <w:sz w:val="24"/>
          <w:szCs w:val="24"/>
        </w:rPr>
      </w:pPr>
    </w:p>
    <w:p>
      <w:pPr>
        <w:widowControl/>
        <w:ind w:right="836" w:rightChars="398" w:firstLine="464" w:firstLineChars="221"/>
        <w:jc w:val="right"/>
      </w:pPr>
    </w:p>
    <w:p>
      <w:pPr>
        <w:pStyle w:val="2"/>
      </w:pPr>
    </w:p>
    <w:p>
      <w:pPr>
        <w:pStyle w:val="2"/>
      </w:pPr>
    </w:p>
    <w:p>
      <w:pPr>
        <w:pStyle w:val="2"/>
      </w:pPr>
    </w:p>
    <w:p>
      <w:pPr>
        <w:pStyle w:val="2"/>
      </w:pPr>
    </w:p>
    <w:p>
      <w:pPr>
        <w:pStyle w:val="2"/>
      </w:pPr>
    </w:p>
    <w:p>
      <w:pPr>
        <w:pStyle w:val="2"/>
      </w:pPr>
    </w:p>
    <w:p>
      <w:pPr>
        <w:pStyle w:val="2"/>
      </w:pPr>
    </w:p>
    <w:p>
      <w:pPr>
        <w:pStyle w:val="2"/>
      </w:pPr>
    </w:p>
    <w:p>
      <w:pPr>
        <w:pStyle w:val="2"/>
        <w:rPr>
          <w:rFonts w:hint="eastAsia" w:ascii="黑体" w:hAnsi="黑体" w:eastAsia="黑体" w:cs="黑体"/>
          <w:color w:val="auto"/>
          <w:sz w:val="32"/>
          <w:szCs w:val="32"/>
          <w:highlight w:val="none"/>
          <w:lang w:val="en-US" w:eastAsia="zh-CN"/>
        </w:rPr>
      </w:pPr>
      <w:r>
        <w:rPr>
          <w:rFonts w:hint="eastAsia" w:ascii="黑体" w:hAnsi="黑体" w:eastAsia="黑体" w:cs="黑体"/>
          <w:color w:val="auto"/>
          <w:kern w:val="0"/>
          <w:sz w:val="32"/>
          <w:szCs w:val="32"/>
          <w:highlight w:val="none"/>
          <w:shd w:val="clear" w:color="auto" w:fill="FFFFFF"/>
          <w:lang w:val="zh-CN"/>
        </w:rPr>
        <w:t>附件</w:t>
      </w:r>
      <w:r>
        <w:rPr>
          <w:rFonts w:hint="eastAsia" w:ascii="黑体" w:hAnsi="黑体" w:eastAsia="黑体" w:cs="黑体"/>
          <w:color w:val="auto"/>
          <w:kern w:val="0"/>
          <w:sz w:val="32"/>
          <w:szCs w:val="32"/>
          <w:highlight w:val="none"/>
          <w:shd w:val="clear" w:color="auto" w:fill="FFFFFF"/>
          <w:lang w:val="en-US" w:eastAsia="zh-CN"/>
        </w:rPr>
        <w:t>2</w:t>
      </w:r>
    </w:p>
    <w:p>
      <w:pPr>
        <w:pStyle w:val="37"/>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方正小标宋简体" w:hAnsi="方正小标宋简体" w:eastAsia="方正小标宋简体" w:cs="方正小标宋简体"/>
          <w:color w:val="auto"/>
          <w:kern w:val="2"/>
          <w:sz w:val="44"/>
          <w:szCs w:val="44"/>
          <w:highlight w:val="none"/>
          <w:lang w:val="en-US" w:eastAsia="zh-CN"/>
        </w:rPr>
      </w:pPr>
      <w:r>
        <w:rPr>
          <w:rFonts w:hint="eastAsia" w:ascii="方正小标宋简体" w:hAnsi="方正小标宋简体" w:eastAsia="方正小标宋简体" w:cs="方正小标宋简体"/>
          <w:color w:val="auto"/>
          <w:kern w:val="2"/>
          <w:sz w:val="44"/>
          <w:szCs w:val="44"/>
          <w:highlight w:val="none"/>
          <w:lang w:val="en-US" w:eastAsia="zh-CN"/>
        </w:rPr>
        <w:t>专项预算项目绩效评价报告</w:t>
      </w:r>
    </w:p>
    <w:p>
      <w:pPr>
        <w:pStyle w:val="2"/>
        <w:ind w:firstLine="1500" w:firstLineChars="500"/>
        <w:rPr>
          <w:rFonts w:hint="default" w:eastAsia="仿宋_GB2312"/>
          <w:lang w:val="en-US" w:eastAsia="zh-CN"/>
        </w:rPr>
      </w:pPr>
      <w:r>
        <w:rPr>
          <w:rFonts w:hint="eastAsia"/>
          <w:lang w:eastAsia="zh-CN"/>
        </w:rPr>
        <w:t>本部门无专项预算项目绩效评价报告</w:t>
      </w: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spacing w:line="600" w:lineRule="exact"/>
        <w:jc w:val="center"/>
        <w:outlineLvl w:val="0"/>
        <w:rPr>
          <w:rFonts w:ascii="仿宋" w:hAnsi="仿宋" w:eastAsia="仿宋"/>
        </w:rPr>
      </w:pPr>
      <w:bookmarkStart w:id="86" w:name="_Toc2131"/>
      <w:r>
        <w:rPr>
          <w:rFonts w:hint="eastAsia" w:ascii="黑体" w:hAnsi="黑体" w:eastAsia="黑体"/>
          <w:sz w:val="44"/>
          <w:szCs w:val="44"/>
        </w:rPr>
        <w:t>第</w:t>
      </w:r>
      <w:r>
        <w:rPr>
          <w:rStyle w:val="28"/>
          <w:rFonts w:hint="eastAsia" w:ascii="黑体" w:hAnsi="黑体" w:eastAsia="黑体"/>
          <w:b w:val="0"/>
        </w:rPr>
        <w:t>五部分 附表</w:t>
      </w:r>
      <w:bookmarkEnd w:id="72"/>
      <w:bookmarkEnd w:id="76"/>
      <w:bookmarkEnd w:id="86"/>
      <w:bookmarkStart w:id="87" w:name="_Toc15396619"/>
    </w:p>
    <w:p>
      <w:pPr>
        <w:pStyle w:val="4"/>
        <w:rPr>
          <w:rFonts w:ascii="仿宋" w:hAnsi="仿宋" w:eastAsia="仿宋"/>
        </w:rPr>
      </w:pPr>
      <w:bookmarkStart w:id="88" w:name="_Toc20788"/>
      <w:r>
        <w:rPr>
          <w:rFonts w:hint="eastAsia" w:ascii="仿宋" w:hAnsi="仿宋" w:eastAsia="仿宋"/>
          <w:b w:val="0"/>
        </w:rPr>
        <w:t>一、收</w:t>
      </w:r>
      <w:r>
        <w:rPr>
          <w:rStyle w:val="29"/>
          <w:rFonts w:hint="eastAsia" w:ascii="仿宋" w:hAnsi="仿宋" w:eastAsia="仿宋"/>
          <w:b w:val="0"/>
          <w:bCs w:val="0"/>
        </w:rPr>
        <w:t>入支出决算总表</w:t>
      </w:r>
      <w:bookmarkEnd w:id="87"/>
      <w:bookmarkEnd w:id="88"/>
    </w:p>
    <w:p>
      <w:pPr>
        <w:pStyle w:val="4"/>
        <w:rPr>
          <w:rFonts w:ascii="仿宋" w:hAnsi="仿宋" w:eastAsia="仿宋"/>
        </w:rPr>
      </w:pPr>
      <w:bookmarkStart w:id="89" w:name="_Toc1946"/>
      <w:bookmarkStart w:id="90" w:name="_Toc15396620"/>
      <w:r>
        <w:rPr>
          <w:rFonts w:hint="eastAsia" w:ascii="仿宋" w:hAnsi="仿宋" w:eastAsia="仿宋"/>
          <w:b w:val="0"/>
        </w:rPr>
        <w:t>二、收</w:t>
      </w:r>
      <w:r>
        <w:rPr>
          <w:rStyle w:val="29"/>
          <w:rFonts w:hint="eastAsia" w:ascii="仿宋" w:hAnsi="仿宋" w:eastAsia="仿宋"/>
          <w:b w:val="0"/>
          <w:bCs w:val="0"/>
        </w:rPr>
        <w:t>入决算表</w:t>
      </w:r>
      <w:bookmarkEnd w:id="89"/>
      <w:bookmarkEnd w:id="90"/>
    </w:p>
    <w:p>
      <w:pPr>
        <w:pStyle w:val="4"/>
        <w:rPr>
          <w:rFonts w:ascii="仿宋" w:hAnsi="仿宋" w:eastAsia="仿宋"/>
        </w:rPr>
      </w:pPr>
      <w:bookmarkStart w:id="91" w:name="_Toc28861"/>
      <w:bookmarkStart w:id="92" w:name="_Toc15396621"/>
      <w:r>
        <w:rPr>
          <w:rStyle w:val="29"/>
          <w:rFonts w:hint="eastAsia" w:ascii="仿宋" w:hAnsi="仿宋" w:eastAsia="仿宋"/>
          <w:b w:val="0"/>
          <w:bCs w:val="0"/>
        </w:rPr>
        <w:t>三、</w:t>
      </w:r>
      <w:r>
        <w:rPr>
          <w:rFonts w:hint="eastAsia" w:ascii="仿宋" w:hAnsi="仿宋" w:eastAsia="仿宋"/>
          <w:b w:val="0"/>
        </w:rPr>
        <w:t>支</w:t>
      </w:r>
      <w:r>
        <w:rPr>
          <w:rStyle w:val="29"/>
          <w:rFonts w:hint="eastAsia" w:ascii="仿宋" w:hAnsi="仿宋" w:eastAsia="仿宋"/>
          <w:b w:val="0"/>
          <w:bCs w:val="0"/>
        </w:rPr>
        <w:t>出决算表</w:t>
      </w:r>
      <w:bookmarkEnd w:id="91"/>
      <w:bookmarkEnd w:id="92"/>
    </w:p>
    <w:p>
      <w:pPr>
        <w:pStyle w:val="4"/>
        <w:rPr>
          <w:rFonts w:ascii="仿宋" w:hAnsi="仿宋" w:eastAsia="仿宋"/>
          <w:b w:val="0"/>
        </w:rPr>
      </w:pPr>
      <w:bookmarkStart w:id="93" w:name="_Toc15396622"/>
      <w:bookmarkStart w:id="94" w:name="_Toc4613"/>
      <w:r>
        <w:rPr>
          <w:rStyle w:val="29"/>
          <w:rFonts w:hint="eastAsia" w:ascii="仿宋" w:hAnsi="仿宋" w:eastAsia="仿宋"/>
          <w:b w:val="0"/>
          <w:bCs w:val="0"/>
        </w:rPr>
        <w:t>四、</w:t>
      </w:r>
      <w:r>
        <w:rPr>
          <w:rFonts w:hint="eastAsia" w:ascii="仿宋" w:hAnsi="仿宋" w:eastAsia="仿宋"/>
          <w:b w:val="0"/>
        </w:rPr>
        <w:t>财</w:t>
      </w:r>
      <w:r>
        <w:rPr>
          <w:rStyle w:val="29"/>
          <w:rFonts w:hint="eastAsia" w:ascii="仿宋" w:hAnsi="仿宋" w:eastAsia="仿宋"/>
          <w:b w:val="0"/>
          <w:bCs w:val="0"/>
        </w:rPr>
        <w:t>政拨款收入支出决算总表</w:t>
      </w:r>
      <w:bookmarkEnd w:id="93"/>
      <w:bookmarkEnd w:id="94"/>
    </w:p>
    <w:p>
      <w:pPr>
        <w:pStyle w:val="4"/>
        <w:rPr>
          <w:rStyle w:val="29"/>
          <w:rFonts w:ascii="仿宋" w:hAnsi="仿宋" w:eastAsia="仿宋"/>
          <w:b w:val="0"/>
          <w:bCs w:val="0"/>
        </w:rPr>
      </w:pPr>
      <w:bookmarkStart w:id="95" w:name="_Toc21254"/>
      <w:bookmarkStart w:id="96" w:name="_Toc15396623"/>
      <w:r>
        <w:rPr>
          <w:rStyle w:val="29"/>
          <w:rFonts w:hint="eastAsia" w:ascii="仿宋" w:hAnsi="仿宋" w:eastAsia="仿宋"/>
          <w:b w:val="0"/>
          <w:bCs w:val="0"/>
        </w:rPr>
        <w:t>五、</w:t>
      </w:r>
      <w:r>
        <w:rPr>
          <w:rFonts w:hint="eastAsia" w:ascii="仿宋" w:hAnsi="仿宋" w:eastAsia="仿宋"/>
          <w:b w:val="0"/>
        </w:rPr>
        <w:t>财</w:t>
      </w:r>
      <w:r>
        <w:rPr>
          <w:rStyle w:val="29"/>
          <w:rFonts w:hint="eastAsia" w:ascii="仿宋" w:hAnsi="仿宋" w:eastAsia="仿宋"/>
          <w:b w:val="0"/>
          <w:bCs w:val="0"/>
        </w:rPr>
        <w:t>政拨款支出决算明细表</w:t>
      </w:r>
      <w:bookmarkEnd w:id="95"/>
      <w:bookmarkEnd w:id="96"/>
      <w:bookmarkStart w:id="97" w:name="_Toc15396624"/>
    </w:p>
    <w:p>
      <w:pPr>
        <w:pStyle w:val="4"/>
        <w:rPr>
          <w:rFonts w:ascii="仿宋" w:hAnsi="仿宋" w:eastAsia="仿宋"/>
        </w:rPr>
      </w:pPr>
      <w:bookmarkStart w:id="98" w:name="_Toc12454"/>
      <w:r>
        <w:rPr>
          <w:rStyle w:val="29"/>
          <w:rFonts w:hint="eastAsia" w:ascii="仿宋" w:hAnsi="仿宋" w:eastAsia="仿宋"/>
          <w:b w:val="0"/>
          <w:bCs w:val="0"/>
        </w:rPr>
        <w:t>六、</w:t>
      </w:r>
      <w:r>
        <w:rPr>
          <w:rFonts w:hint="eastAsia" w:ascii="仿宋" w:hAnsi="仿宋" w:eastAsia="仿宋"/>
          <w:b w:val="0"/>
        </w:rPr>
        <w:t>一</w:t>
      </w:r>
      <w:r>
        <w:rPr>
          <w:rStyle w:val="29"/>
          <w:rFonts w:hint="eastAsia" w:ascii="仿宋" w:hAnsi="仿宋" w:eastAsia="仿宋"/>
          <w:b w:val="0"/>
          <w:bCs w:val="0"/>
        </w:rPr>
        <w:t>般公共预算财政拨款支出决算表</w:t>
      </w:r>
      <w:bookmarkEnd w:id="97"/>
      <w:bookmarkEnd w:id="98"/>
    </w:p>
    <w:p>
      <w:pPr>
        <w:pStyle w:val="4"/>
        <w:rPr>
          <w:rFonts w:ascii="仿宋" w:hAnsi="仿宋" w:eastAsia="仿宋"/>
        </w:rPr>
      </w:pPr>
      <w:bookmarkStart w:id="99" w:name="_Toc18512"/>
      <w:bookmarkStart w:id="100" w:name="_Toc15396625"/>
      <w:r>
        <w:rPr>
          <w:rStyle w:val="29"/>
          <w:rFonts w:hint="eastAsia" w:ascii="仿宋" w:hAnsi="仿宋" w:eastAsia="仿宋"/>
          <w:b w:val="0"/>
          <w:bCs w:val="0"/>
        </w:rPr>
        <w:t>七、</w:t>
      </w:r>
      <w:r>
        <w:rPr>
          <w:rFonts w:hint="eastAsia" w:ascii="仿宋" w:hAnsi="仿宋" w:eastAsia="仿宋"/>
          <w:b w:val="0"/>
        </w:rPr>
        <w:t>一</w:t>
      </w:r>
      <w:r>
        <w:rPr>
          <w:rStyle w:val="29"/>
          <w:rFonts w:hint="eastAsia" w:ascii="仿宋" w:hAnsi="仿宋" w:eastAsia="仿宋"/>
          <w:b w:val="0"/>
          <w:bCs w:val="0"/>
        </w:rPr>
        <w:t>般公共预算财政拨款支出决算明细表</w:t>
      </w:r>
      <w:bookmarkEnd w:id="99"/>
      <w:bookmarkEnd w:id="100"/>
    </w:p>
    <w:p>
      <w:pPr>
        <w:pStyle w:val="4"/>
        <w:rPr>
          <w:rFonts w:ascii="仿宋" w:hAnsi="仿宋" w:eastAsia="仿宋"/>
        </w:rPr>
      </w:pPr>
      <w:bookmarkStart w:id="101" w:name="_Toc30817"/>
      <w:bookmarkStart w:id="102" w:name="_Toc15396626"/>
      <w:r>
        <w:rPr>
          <w:rStyle w:val="29"/>
          <w:rFonts w:hint="eastAsia" w:ascii="仿宋" w:hAnsi="仿宋" w:eastAsia="仿宋"/>
          <w:b w:val="0"/>
          <w:bCs w:val="0"/>
        </w:rPr>
        <w:t>八、</w:t>
      </w:r>
      <w:r>
        <w:rPr>
          <w:rFonts w:hint="eastAsia" w:ascii="仿宋" w:hAnsi="仿宋" w:eastAsia="仿宋"/>
          <w:b w:val="0"/>
        </w:rPr>
        <w:t>一</w:t>
      </w:r>
      <w:r>
        <w:rPr>
          <w:rStyle w:val="29"/>
          <w:rFonts w:hint="eastAsia" w:ascii="仿宋" w:hAnsi="仿宋" w:eastAsia="仿宋"/>
          <w:b w:val="0"/>
          <w:bCs w:val="0"/>
        </w:rPr>
        <w:t>般公共预算财政拨款基本支出决算表</w:t>
      </w:r>
      <w:bookmarkEnd w:id="101"/>
      <w:bookmarkEnd w:id="102"/>
    </w:p>
    <w:p>
      <w:pPr>
        <w:pStyle w:val="4"/>
        <w:rPr>
          <w:rFonts w:ascii="仿宋" w:hAnsi="仿宋" w:eastAsia="仿宋"/>
        </w:rPr>
      </w:pPr>
      <w:bookmarkStart w:id="103" w:name="_Toc10477"/>
      <w:bookmarkStart w:id="104" w:name="_Toc15396627"/>
      <w:r>
        <w:rPr>
          <w:rStyle w:val="29"/>
          <w:rFonts w:hint="eastAsia" w:ascii="仿宋" w:hAnsi="仿宋" w:eastAsia="仿宋"/>
          <w:b w:val="0"/>
          <w:bCs w:val="0"/>
        </w:rPr>
        <w:t>九、</w:t>
      </w:r>
      <w:r>
        <w:rPr>
          <w:rFonts w:hint="eastAsia" w:ascii="仿宋" w:hAnsi="仿宋" w:eastAsia="仿宋"/>
          <w:b w:val="0"/>
        </w:rPr>
        <w:t>一</w:t>
      </w:r>
      <w:r>
        <w:rPr>
          <w:rStyle w:val="29"/>
          <w:rFonts w:hint="eastAsia" w:ascii="仿宋" w:hAnsi="仿宋" w:eastAsia="仿宋"/>
          <w:b w:val="0"/>
          <w:bCs w:val="0"/>
        </w:rPr>
        <w:t>般公共预算财政拨款项目支出决算表</w:t>
      </w:r>
      <w:bookmarkEnd w:id="103"/>
      <w:bookmarkEnd w:id="104"/>
    </w:p>
    <w:p>
      <w:pPr>
        <w:pStyle w:val="4"/>
        <w:rPr>
          <w:rFonts w:ascii="仿宋" w:hAnsi="仿宋" w:eastAsia="仿宋"/>
        </w:rPr>
      </w:pPr>
      <w:bookmarkStart w:id="105" w:name="_Toc15396628"/>
      <w:bookmarkStart w:id="106" w:name="_Toc9024"/>
      <w:r>
        <w:rPr>
          <w:rStyle w:val="29"/>
          <w:rFonts w:hint="eastAsia" w:ascii="仿宋" w:hAnsi="仿宋" w:eastAsia="仿宋"/>
          <w:b w:val="0"/>
          <w:bCs w:val="0"/>
        </w:rPr>
        <w:t>十、</w:t>
      </w:r>
      <w:bookmarkEnd w:id="105"/>
      <w:r>
        <w:rPr>
          <w:rFonts w:hint="eastAsia" w:ascii="仿宋" w:hAnsi="仿宋" w:eastAsia="仿宋"/>
          <w:b w:val="0"/>
        </w:rPr>
        <w:t>政</w:t>
      </w:r>
      <w:r>
        <w:rPr>
          <w:rStyle w:val="29"/>
          <w:rFonts w:hint="eastAsia" w:ascii="仿宋" w:hAnsi="仿宋" w:eastAsia="仿宋"/>
          <w:b w:val="0"/>
          <w:bCs w:val="0"/>
        </w:rPr>
        <w:t>府性基金预算财政拨款收入支出决算表</w:t>
      </w:r>
      <w:bookmarkEnd w:id="106"/>
    </w:p>
    <w:p>
      <w:pPr>
        <w:pStyle w:val="4"/>
        <w:rPr>
          <w:rFonts w:ascii="仿宋" w:hAnsi="仿宋" w:eastAsia="仿宋"/>
        </w:rPr>
      </w:pPr>
      <w:bookmarkStart w:id="107" w:name="_Toc15396629"/>
      <w:bookmarkStart w:id="108" w:name="_Toc26068"/>
      <w:r>
        <w:rPr>
          <w:rStyle w:val="29"/>
          <w:rFonts w:hint="eastAsia" w:ascii="仿宋" w:hAnsi="仿宋" w:eastAsia="仿宋"/>
          <w:b w:val="0"/>
          <w:bCs w:val="0"/>
        </w:rPr>
        <w:t>十一、</w:t>
      </w:r>
      <w:bookmarkEnd w:id="107"/>
      <w:r>
        <w:rPr>
          <w:rFonts w:hint="eastAsia" w:ascii="仿宋" w:hAnsi="仿宋" w:eastAsia="仿宋"/>
          <w:b w:val="0"/>
        </w:rPr>
        <w:t>国</w:t>
      </w:r>
      <w:r>
        <w:rPr>
          <w:rStyle w:val="29"/>
          <w:rFonts w:hint="eastAsia" w:ascii="仿宋" w:hAnsi="仿宋" w:eastAsia="仿宋"/>
          <w:b w:val="0"/>
          <w:bCs w:val="0"/>
        </w:rPr>
        <w:t>有资本经营预算财政拨款收入支出决算表</w:t>
      </w:r>
      <w:bookmarkEnd w:id="108"/>
    </w:p>
    <w:p>
      <w:pPr>
        <w:pStyle w:val="4"/>
        <w:rPr>
          <w:rFonts w:ascii="仿宋" w:hAnsi="仿宋" w:eastAsia="仿宋"/>
        </w:rPr>
      </w:pPr>
      <w:bookmarkStart w:id="109" w:name="_Toc15396630"/>
      <w:bookmarkStart w:id="110" w:name="_Toc18723"/>
      <w:r>
        <w:rPr>
          <w:rStyle w:val="29"/>
          <w:rFonts w:hint="eastAsia" w:ascii="仿宋" w:hAnsi="仿宋" w:eastAsia="仿宋"/>
          <w:b w:val="0"/>
          <w:bCs w:val="0"/>
        </w:rPr>
        <w:t>十二、</w:t>
      </w:r>
      <w:bookmarkEnd w:id="109"/>
      <w:r>
        <w:rPr>
          <w:rStyle w:val="29"/>
          <w:rFonts w:hint="eastAsia" w:ascii="仿宋" w:hAnsi="仿宋" w:eastAsia="仿宋"/>
          <w:b w:val="0"/>
          <w:bCs w:val="0"/>
        </w:rPr>
        <w:t>国有资本经营预算财政拨款支出决算表</w:t>
      </w:r>
      <w:bookmarkEnd w:id="110"/>
    </w:p>
    <w:p>
      <w:pPr>
        <w:pStyle w:val="4"/>
        <w:rPr>
          <w:rFonts w:eastAsia="仿宋"/>
        </w:rPr>
      </w:pPr>
      <w:bookmarkStart w:id="111" w:name="_Toc15396631"/>
      <w:bookmarkStart w:id="112" w:name="_Toc7938"/>
      <w:r>
        <w:rPr>
          <w:rStyle w:val="29"/>
          <w:rFonts w:hint="eastAsia" w:ascii="仿宋" w:hAnsi="仿宋" w:eastAsia="仿宋"/>
          <w:b w:val="0"/>
          <w:bCs w:val="0"/>
        </w:rPr>
        <w:t>十三、</w:t>
      </w:r>
      <w:bookmarkEnd w:id="111"/>
      <w:r>
        <w:rPr>
          <w:rStyle w:val="29"/>
          <w:rFonts w:hint="eastAsia" w:ascii="仿宋" w:hAnsi="仿宋" w:eastAsia="仿宋"/>
          <w:b w:val="0"/>
          <w:bCs w:val="0"/>
        </w:rPr>
        <w:t>财政拨款“三公”经费支出决算表</w:t>
      </w:r>
      <w:bookmarkEnd w:id="112"/>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方正仿宋简体">
    <w:panose1 w:val="03000509000000000000"/>
    <w:charset w:val="86"/>
    <w:family w:val="script"/>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Lucida Sans">
    <w:panose1 w:val="020B0602030504020204"/>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 w:name="??">
    <w:altName w:val="Times New Roman"/>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10"/>
          <w:jc w:val="center"/>
        </w:pPr>
        <w:r>
          <w:fldChar w:fldCharType="begin"/>
        </w:r>
        <w:r>
          <w:instrText xml:space="preserve">PAGE   \* MERGEFORMAT</w:instrText>
        </w:r>
        <w:r>
          <w:fldChar w:fldCharType="separate"/>
        </w:r>
        <w:r>
          <w:rPr>
            <w:lang w:val="zh-CN"/>
          </w:rPr>
          <w:t>15</w:t>
        </w:r>
        <w:r>
          <w:fldChar w:fldCharType="end"/>
        </w:r>
      </w:p>
    </w:sdtContent>
  </w:sdt>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D2028509"/>
    <w:multiLevelType w:val="singleLevel"/>
    <w:tmpl w:val="D2028509"/>
    <w:lvl w:ilvl="0" w:tentative="0">
      <w:start w:val="2"/>
      <w:numFmt w:val="chineseCounting"/>
      <w:suff w:val="space"/>
      <w:lvlText w:val="第%1部分"/>
      <w:lvlJc w:val="left"/>
      <w:rPr>
        <w:rFonts w:hint="eastAsia"/>
      </w:rPr>
    </w:lvl>
  </w:abstractNum>
  <w:abstractNum w:abstractNumId="2">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3">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true"/>
  <w:bordersDoNotSurroundFooter w:val="true"/>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A1DAD"/>
    <w:rsid w:val="001C0962"/>
    <w:rsid w:val="001D7531"/>
    <w:rsid w:val="001E737D"/>
    <w:rsid w:val="001F0592"/>
    <w:rsid w:val="001F7506"/>
    <w:rsid w:val="002006CD"/>
    <w:rsid w:val="00202B36"/>
    <w:rsid w:val="00204B7A"/>
    <w:rsid w:val="00204CDE"/>
    <w:rsid w:val="00206907"/>
    <w:rsid w:val="0021101A"/>
    <w:rsid w:val="00212B4A"/>
    <w:rsid w:val="00220536"/>
    <w:rsid w:val="00235629"/>
    <w:rsid w:val="00260C38"/>
    <w:rsid w:val="002616C0"/>
    <w:rsid w:val="00265372"/>
    <w:rsid w:val="002662AA"/>
    <w:rsid w:val="00280496"/>
    <w:rsid w:val="00294DC9"/>
    <w:rsid w:val="00295495"/>
    <w:rsid w:val="002A31DE"/>
    <w:rsid w:val="002B2613"/>
    <w:rsid w:val="002C5004"/>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25C50"/>
    <w:rsid w:val="0043177C"/>
    <w:rsid w:val="00434489"/>
    <w:rsid w:val="00437085"/>
    <w:rsid w:val="00443880"/>
    <w:rsid w:val="004464F4"/>
    <w:rsid w:val="0046049C"/>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533CF"/>
    <w:rsid w:val="005664BB"/>
    <w:rsid w:val="00566FFA"/>
    <w:rsid w:val="0057481D"/>
    <w:rsid w:val="0058486E"/>
    <w:rsid w:val="00585B33"/>
    <w:rsid w:val="0059014D"/>
    <w:rsid w:val="005B5C64"/>
    <w:rsid w:val="005B6E8A"/>
    <w:rsid w:val="005C5337"/>
    <w:rsid w:val="005C6BD0"/>
    <w:rsid w:val="005D1C8B"/>
    <w:rsid w:val="005D468D"/>
    <w:rsid w:val="005D5CED"/>
    <w:rsid w:val="005F10BC"/>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55FC5"/>
    <w:rsid w:val="0066343B"/>
    <w:rsid w:val="00664777"/>
    <w:rsid w:val="006748A4"/>
    <w:rsid w:val="00681A31"/>
    <w:rsid w:val="00683E73"/>
    <w:rsid w:val="006A3141"/>
    <w:rsid w:val="006A5E34"/>
    <w:rsid w:val="006B2422"/>
    <w:rsid w:val="006B2B9A"/>
    <w:rsid w:val="006C1937"/>
    <w:rsid w:val="006F020C"/>
    <w:rsid w:val="0071021A"/>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102"/>
    <w:rsid w:val="00813348"/>
    <w:rsid w:val="008253BB"/>
    <w:rsid w:val="0083706E"/>
    <w:rsid w:val="008408F6"/>
    <w:rsid w:val="008423A5"/>
    <w:rsid w:val="00850625"/>
    <w:rsid w:val="00853718"/>
    <w:rsid w:val="00855221"/>
    <w:rsid w:val="00860645"/>
    <w:rsid w:val="00871F71"/>
    <w:rsid w:val="00872FD8"/>
    <w:rsid w:val="00885AF4"/>
    <w:rsid w:val="00885B23"/>
    <w:rsid w:val="008939CD"/>
    <w:rsid w:val="008B768C"/>
    <w:rsid w:val="008C4DB1"/>
    <w:rsid w:val="008C4EAF"/>
    <w:rsid w:val="008C5176"/>
    <w:rsid w:val="008C7FD0"/>
    <w:rsid w:val="008C7FD8"/>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1E6F"/>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176EA7"/>
    <w:rsid w:val="013730A5"/>
    <w:rsid w:val="01C012ED"/>
    <w:rsid w:val="02C866AB"/>
    <w:rsid w:val="03DC2831"/>
    <w:rsid w:val="056D353A"/>
    <w:rsid w:val="05C34013"/>
    <w:rsid w:val="06936492"/>
    <w:rsid w:val="081B5E94"/>
    <w:rsid w:val="08E73603"/>
    <w:rsid w:val="09622B56"/>
    <w:rsid w:val="0A2032A3"/>
    <w:rsid w:val="0ACC0D02"/>
    <w:rsid w:val="0B8A37D8"/>
    <w:rsid w:val="0BD936D7"/>
    <w:rsid w:val="0C2F2478"/>
    <w:rsid w:val="0D662D48"/>
    <w:rsid w:val="0D927FE1"/>
    <w:rsid w:val="0E016F15"/>
    <w:rsid w:val="0EFE371F"/>
    <w:rsid w:val="0F5FFB2F"/>
    <w:rsid w:val="0FBA381F"/>
    <w:rsid w:val="0FDF6DE2"/>
    <w:rsid w:val="0FFFCF60"/>
    <w:rsid w:val="10A2678D"/>
    <w:rsid w:val="10C055FF"/>
    <w:rsid w:val="114F61E9"/>
    <w:rsid w:val="118107EC"/>
    <w:rsid w:val="11DD6519"/>
    <w:rsid w:val="12015736"/>
    <w:rsid w:val="13B642FE"/>
    <w:rsid w:val="146401FE"/>
    <w:rsid w:val="16BB723D"/>
    <w:rsid w:val="174560C4"/>
    <w:rsid w:val="18015F3F"/>
    <w:rsid w:val="18245CDA"/>
    <w:rsid w:val="184E065C"/>
    <w:rsid w:val="186B1B5B"/>
    <w:rsid w:val="190B6E9A"/>
    <w:rsid w:val="1A8A4074"/>
    <w:rsid w:val="1BE8440E"/>
    <w:rsid w:val="1C4A5F2B"/>
    <w:rsid w:val="1D155CEE"/>
    <w:rsid w:val="1E86536F"/>
    <w:rsid w:val="1FDBBF84"/>
    <w:rsid w:val="20BE2A44"/>
    <w:rsid w:val="20EC5803"/>
    <w:rsid w:val="20F57F95"/>
    <w:rsid w:val="21F11323"/>
    <w:rsid w:val="22E26EBD"/>
    <w:rsid w:val="22F4274D"/>
    <w:rsid w:val="235D4796"/>
    <w:rsid w:val="240371BF"/>
    <w:rsid w:val="24280900"/>
    <w:rsid w:val="25711CC6"/>
    <w:rsid w:val="25C741E6"/>
    <w:rsid w:val="27491812"/>
    <w:rsid w:val="276F80C0"/>
    <w:rsid w:val="27842671"/>
    <w:rsid w:val="27FF6430"/>
    <w:rsid w:val="285048C9"/>
    <w:rsid w:val="29073CA5"/>
    <w:rsid w:val="29622B06"/>
    <w:rsid w:val="29FD04D3"/>
    <w:rsid w:val="2A197628"/>
    <w:rsid w:val="2ABE7A3E"/>
    <w:rsid w:val="2AFF09B6"/>
    <w:rsid w:val="2B964CE9"/>
    <w:rsid w:val="2C475FE3"/>
    <w:rsid w:val="2CA234A8"/>
    <w:rsid w:val="2D1265F1"/>
    <w:rsid w:val="2EFA178C"/>
    <w:rsid w:val="2EFDF86C"/>
    <w:rsid w:val="2F542EF1"/>
    <w:rsid w:val="2F7D2448"/>
    <w:rsid w:val="2F9D17E1"/>
    <w:rsid w:val="306E7FE2"/>
    <w:rsid w:val="30777956"/>
    <w:rsid w:val="30B46D73"/>
    <w:rsid w:val="319F7F4E"/>
    <w:rsid w:val="343C2E00"/>
    <w:rsid w:val="356A28F1"/>
    <w:rsid w:val="357C035A"/>
    <w:rsid w:val="36873BAC"/>
    <w:rsid w:val="368E000D"/>
    <w:rsid w:val="36BE6EA2"/>
    <w:rsid w:val="383D272C"/>
    <w:rsid w:val="39AE70AB"/>
    <w:rsid w:val="3A4DCE41"/>
    <w:rsid w:val="3BCB56FA"/>
    <w:rsid w:val="3C0C0783"/>
    <w:rsid w:val="3C4816E7"/>
    <w:rsid w:val="3C925059"/>
    <w:rsid w:val="3DB57251"/>
    <w:rsid w:val="3EE7C2F4"/>
    <w:rsid w:val="3EF1250A"/>
    <w:rsid w:val="3F371B56"/>
    <w:rsid w:val="3F792ED8"/>
    <w:rsid w:val="3F8F3AD1"/>
    <w:rsid w:val="3F9F3A96"/>
    <w:rsid w:val="3FECA4B2"/>
    <w:rsid w:val="3FF58C48"/>
    <w:rsid w:val="406562ED"/>
    <w:rsid w:val="410F4ECA"/>
    <w:rsid w:val="41C51A2C"/>
    <w:rsid w:val="42FF6694"/>
    <w:rsid w:val="43E97C54"/>
    <w:rsid w:val="450B1E4C"/>
    <w:rsid w:val="450D7972"/>
    <w:rsid w:val="455475CD"/>
    <w:rsid w:val="48BF60AB"/>
    <w:rsid w:val="493C27E9"/>
    <w:rsid w:val="496F39ED"/>
    <w:rsid w:val="49D4280C"/>
    <w:rsid w:val="49FF41D3"/>
    <w:rsid w:val="4BC13810"/>
    <w:rsid w:val="4BE068DB"/>
    <w:rsid w:val="4BF6002B"/>
    <w:rsid w:val="4BFFC6BE"/>
    <w:rsid w:val="4D241CFD"/>
    <w:rsid w:val="4ECE2238"/>
    <w:rsid w:val="4FA17635"/>
    <w:rsid w:val="4FFD86C6"/>
    <w:rsid w:val="50C64E79"/>
    <w:rsid w:val="51DB4B86"/>
    <w:rsid w:val="51F06651"/>
    <w:rsid w:val="51F64DB0"/>
    <w:rsid w:val="52927709"/>
    <w:rsid w:val="55333C3E"/>
    <w:rsid w:val="55983288"/>
    <w:rsid w:val="55B42DB1"/>
    <w:rsid w:val="59AC10B0"/>
    <w:rsid w:val="5A094754"/>
    <w:rsid w:val="5A2C0443"/>
    <w:rsid w:val="5D5512BF"/>
    <w:rsid w:val="5EFF6632"/>
    <w:rsid w:val="5F622211"/>
    <w:rsid w:val="5F67802D"/>
    <w:rsid w:val="5F7C7776"/>
    <w:rsid w:val="5F7DC4F2"/>
    <w:rsid w:val="5FB36814"/>
    <w:rsid w:val="5FBB8E56"/>
    <w:rsid w:val="5FFB5535"/>
    <w:rsid w:val="62141EE8"/>
    <w:rsid w:val="63FE4DFD"/>
    <w:rsid w:val="64104931"/>
    <w:rsid w:val="646E664C"/>
    <w:rsid w:val="64CA39A1"/>
    <w:rsid w:val="65B85280"/>
    <w:rsid w:val="6626043C"/>
    <w:rsid w:val="667B0788"/>
    <w:rsid w:val="66E83943"/>
    <w:rsid w:val="66FB71D3"/>
    <w:rsid w:val="679F04A6"/>
    <w:rsid w:val="69630ADE"/>
    <w:rsid w:val="69BD5F13"/>
    <w:rsid w:val="69FB0B4B"/>
    <w:rsid w:val="6BA56D33"/>
    <w:rsid w:val="6BFFE1FB"/>
    <w:rsid w:val="6C4A05C8"/>
    <w:rsid w:val="6D3B1A89"/>
    <w:rsid w:val="6DB7D8A3"/>
    <w:rsid w:val="6EC78701"/>
    <w:rsid w:val="6EFE2AA8"/>
    <w:rsid w:val="6F6A75EB"/>
    <w:rsid w:val="6F7A5481"/>
    <w:rsid w:val="6FFE07A9"/>
    <w:rsid w:val="71467BE4"/>
    <w:rsid w:val="718A5D23"/>
    <w:rsid w:val="71BF4EC2"/>
    <w:rsid w:val="72005FE5"/>
    <w:rsid w:val="72734D90"/>
    <w:rsid w:val="73446F12"/>
    <w:rsid w:val="73463ECB"/>
    <w:rsid w:val="7386076C"/>
    <w:rsid w:val="73E75B71"/>
    <w:rsid w:val="7412278C"/>
    <w:rsid w:val="748B46A3"/>
    <w:rsid w:val="749173C8"/>
    <w:rsid w:val="75DDCDA9"/>
    <w:rsid w:val="75FF44B1"/>
    <w:rsid w:val="77670518"/>
    <w:rsid w:val="777FA627"/>
    <w:rsid w:val="77DF1B5F"/>
    <w:rsid w:val="77EF2D9D"/>
    <w:rsid w:val="798474FC"/>
    <w:rsid w:val="79E7B28D"/>
    <w:rsid w:val="7A545120"/>
    <w:rsid w:val="7ACFF0C2"/>
    <w:rsid w:val="7AFB9108"/>
    <w:rsid w:val="7BD5340C"/>
    <w:rsid w:val="7BFB19D2"/>
    <w:rsid w:val="7BFD1750"/>
    <w:rsid w:val="7BFDAA1B"/>
    <w:rsid w:val="7C8415C1"/>
    <w:rsid w:val="7CDF9A82"/>
    <w:rsid w:val="7CFFA1BD"/>
    <w:rsid w:val="7D2E3F7A"/>
    <w:rsid w:val="7DED9490"/>
    <w:rsid w:val="7DF8DDB0"/>
    <w:rsid w:val="7DFF4872"/>
    <w:rsid w:val="7E7487E6"/>
    <w:rsid w:val="7E7C2A54"/>
    <w:rsid w:val="7ED14F91"/>
    <w:rsid w:val="7EEEFD72"/>
    <w:rsid w:val="7F01339C"/>
    <w:rsid w:val="7F1D517C"/>
    <w:rsid w:val="7F5DA057"/>
    <w:rsid w:val="7F6C2237"/>
    <w:rsid w:val="7F7F319B"/>
    <w:rsid w:val="7F9F20EE"/>
    <w:rsid w:val="7FBBE890"/>
    <w:rsid w:val="7FBC2ABD"/>
    <w:rsid w:val="7FBF5D48"/>
    <w:rsid w:val="7FCCFC01"/>
    <w:rsid w:val="7FDD1748"/>
    <w:rsid w:val="7FE769C6"/>
    <w:rsid w:val="7FFD083E"/>
    <w:rsid w:val="7FFF9372"/>
    <w:rsid w:val="84BF1F3B"/>
    <w:rsid w:val="8F55B106"/>
    <w:rsid w:val="95DF317D"/>
    <w:rsid w:val="979E1262"/>
    <w:rsid w:val="97E77C70"/>
    <w:rsid w:val="9E3A10E2"/>
    <w:rsid w:val="9FB91FBD"/>
    <w:rsid w:val="9FD54998"/>
    <w:rsid w:val="A671883B"/>
    <w:rsid w:val="A7EFD17F"/>
    <w:rsid w:val="A7FFE43F"/>
    <w:rsid w:val="BBFF09FC"/>
    <w:rsid w:val="BDFEA317"/>
    <w:rsid w:val="BFBD1581"/>
    <w:rsid w:val="CD9BBABB"/>
    <w:rsid w:val="CF99F292"/>
    <w:rsid w:val="D5DA60B3"/>
    <w:rsid w:val="D7C6F579"/>
    <w:rsid w:val="D8FECA92"/>
    <w:rsid w:val="DAFFBE66"/>
    <w:rsid w:val="DD2C0BFE"/>
    <w:rsid w:val="DE3F332B"/>
    <w:rsid w:val="DE6F4A3D"/>
    <w:rsid w:val="DF63B7EA"/>
    <w:rsid w:val="DF69F8B0"/>
    <w:rsid w:val="DFC71555"/>
    <w:rsid w:val="DFFC559C"/>
    <w:rsid w:val="DFFEDFAE"/>
    <w:rsid w:val="DFFFB5EB"/>
    <w:rsid w:val="E4B33E57"/>
    <w:rsid w:val="E5BF946A"/>
    <w:rsid w:val="EB39BD45"/>
    <w:rsid w:val="EBCF1FC2"/>
    <w:rsid w:val="EBD18F66"/>
    <w:rsid w:val="ECEFA26E"/>
    <w:rsid w:val="ED17392C"/>
    <w:rsid w:val="ED9FFD9A"/>
    <w:rsid w:val="EDB7968B"/>
    <w:rsid w:val="EEF73F60"/>
    <w:rsid w:val="EFED9E42"/>
    <w:rsid w:val="EFFFB194"/>
    <w:rsid w:val="F07D1C5A"/>
    <w:rsid w:val="F2E1F9D4"/>
    <w:rsid w:val="F5EE8284"/>
    <w:rsid w:val="F5FF7449"/>
    <w:rsid w:val="F7880819"/>
    <w:rsid w:val="F7AF180D"/>
    <w:rsid w:val="F7BDBFA7"/>
    <w:rsid w:val="F7FAD68F"/>
    <w:rsid w:val="F7FB14CF"/>
    <w:rsid w:val="FB3FC69C"/>
    <w:rsid w:val="FBDFF225"/>
    <w:rsid w:val="FBF7AB63"/>
    <w:rsid w:val="FC2F3373"/>
    <w:rsid w:val="FCF51535"/>
    <w:rsid w:val="FD77F6B8"/>
    <w:rsid w:val="FDD69328"/>
    <w:rsid w:val="FDDFEC0E"/>
    <w:rsid w:val="FDE58BDD"/>
    <w:rsid w:val="FDEC7001"/>
    <w:rsid w:val="FEDFE87F"/>
    <w:rsid w:val="FEF1D25B"/>
    <w:rsid w:val="FF3EF90F"/>
    <w:rsid w:val="FFAF6081"/>
    <w:rsid w:val="FFECCD8C"/>
    <w:rsid w:val="FFED60BD"/>
    <w:rsid w:val="FFEE08F0"/>
    <w:rsid w:val="FFEE7F9F"/>
    <w:rsid w:val="FFFF31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2"/>
    <w:unhideWhenUsed/>
    <w:qFormat/>
    <w:uiPriority w:val="9"/>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5"/>
    <w:qFormat/>
    <w:uiPriority w:val="99"/>
    <w:pPr>
      <w:spacing w:beforeLines="30"/>
    </w:pPr>
    <w:rPr>
      <w:rFonts w:ascii="仿宋_GB2312" w:eastAsia="仿宋_GB2312"/>
      <w:kern w:val="0"/>
      <w:sz w:val="30"/>
    </w:rPr>
  </w:style>
  <w:style w:type="paragraph" w:styleId="6">
    <w:name w:val="Body Text Indent"/>
    <w:basedOn w:val="1"/>
    <w:next w:val="7"/>
    <w:qFormat/>
    <w:uiPriority w:val="0"/>
    <w:pPr>
      <w:spacing w:after="120"/>
      <w:ind w:left="200" w:leftChars="200"/>
    </w:pPr>
    <w:rPr>
      <w:rFonts w:ascii="仿宋_GB2312"/>
      <w:szCs w:val="32"/>
    </w:rPr>
  </w:style>
  <w:style w:type="paragraph" w:styleId="7">
    <w:name w:val="Body Text First Indent 2"/>
    <w:basedOn w:val="6"/>
    <w:unhideWhenUsed/>
    <w:qFormat/>
    <w:uiPriority w:val="99"/>
    <w:pPr>
      <w:ind w:firstLine="420" w:firstLineChars="200"/>
    </w:p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1"/>
    <w:semiHidden/>
    <w:unhideWhenUsed/>
    <w:qFormat/>
    <w:uiPriority w:val="99"/>
    <w:rPr>
      <w:sz w:val="18"/>
      <w:szCs w:val="18"/>
    </w:rPr>
  </w:style>
  <w:style w:type="paragraph" w:styleId="10">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toc 2"/>
    <w:basedOn w:val="1"/>
    <w:next w:val="1"/>
    <w:unhideWhenUsed/>
    <w:qFormat/>
    <w:uiPriority w:val="39"/>
    <w:pPr>
      <w:tabs>
        <w:tab w:val="right" w:leader="dot" w:pos="8296"/>
      </w:tabs>
      <w:ind w:left="420" w:leftChars="200"/>
    </w:pPr>
  </w:style>
  <w:style w:type="paragraph" w:styleId="14">
    <w:name w:val="Normal (Web)"/>
    <w:basedOn w:val="1"/>
    <w:unhideWhenUsed/>
    <w:qFormat/>
    <w:uiPriority w:val="99"/>
    <w:pPr>
      <w:widowControl/>
      <w:spacing w:before="100" w:beforeAutospacing="1" w:after="100" w:afterAutospacing="1"/>
    </w:pPr>
    <w:rPr>
      <w:rFonts w:ascii="宋体" w:hAnsi="宋体" w:cs="宋体"/>
    </w:rPr>
  </w:style>
  <w:style w:type="character" w:styleId="17">
    <w:name w:val="Strong"/>
    <w:basedOn w:val="16"/>
    <w:qFormat/>
    <w:uiPriority w:val="99"/>
    <w:rPr>
      <w:b/>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paragraph" w:customStyle="1" w:styleId="19">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0">
    <w:name w:val="Header Char"/>
    <w:basedOn w:val="16"/>
    <w:semiHidden/>
    <w:qFormat/>
    <w:uiPriority w:val="99"/>
    <w:rPr>
      <w:rFonts w:ascii="Times New Roman" w:hAnsi="Times New Roman"/>
      <w:sz w:val="18"/>
      <w:szCs w:val="18"/>
    </w:rPr>
  </w:style>
  <w:style w:type="character" w:customStyle="1" w:styleId="21">
    <w:name w:val="页眉 字符"/>
    <w:link w:val="11"/>
    <w:semiHidden/>
    <w:qFormat/>
    <w:locked/>
    <w:uiPriority w:val="99"/>
    <w:rPr>
      <w:sz w:val="18"/>
    </w:rPr>
  </w:style>
  <w:style w:type="character" w:customStyle="1" w:styleId="22">
    <w:name w:val="Footer Char"/>
    <w:basedOn w:val="16"/>
    <w:semiHidden/>
    <w:qFormat/>
    <w:uiPriority w:val="99"/>
    <w:rPr>
      <w:rFonts w:ascii="Times New Roman" w:hAnsi="Times New Roman"/>
      <w:sz w:val="18"/>
      <w:szCs w:val="18"/>
    </w:rPr>
  </w:style>
  <w:style w:type="character" w:customStyle="1" w:styleId="23">
    <w:name w:val="页脚 字符"/>
    <w:link w:val="10"/>
    <w:qFormat/>
    <w:locked/>
    <w:uiPriority w:val="99"/>
    <w:rPr>
      <w:sz w:val="18"/>
    </w:rPr>
  </w:style>
  <w:style w:type="character" w:customStyle="1" w:styleId="24">
    <w:name w:val="Body Text Char"/>
    <w:basedOn w:val="16"/>
    <w:semiHidden/>
    <w:qFormat/>
    <w:uiPriority w:val="99"/>
    <w:rPr>
      <w:rFonts w:ascii="Times New Roman" w:hAnsi="Times New Roman"/>
      <w:szCs w:val="24"/>
    </w:rPr>
  </w:style>
  <w:style w:type="character" w:customStyle="1" w:styleId="25">
    <w:name w:val="正文文本 字符"/>
    <w:link w:val="2"/>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character" w:customStyle="1" w:styleId="28">
    <w:name w:val="标题 1 字符"/>
    <w:basedOn w:val="16"/>
    <w:link w:val="3"/>
    <w:qFormat/>
    <w:uiPriority w:val="9"/>
    <w:rPr>
      <w:rFonts w:ascii="Times New Roman" w:hAnsi="Times New Roman"/>
      <w:b/>
      <w:bCs/>
      <w:kern w:val="44"/>
      <w:sz w:val="44"/>
      <w:szCs w:val="44"/>
    </w:rPr>
  </w:style>
  <w:style w:type="character" w:customStyle="1" w:styleId="29">
    <w:name w:val="标题 2 字符"/>
    <w:basedOn w:val="16"/>
    <w:link w:val="4"/>
    <w:qFormat/>
    <w:uiPriority w:val="9"/>
    <w:rPr>
      <w:rFonts w:asciiTheme="majorHAnsi" w:hAnsiTheme="majorHAnsi" w:eastAsiaTheme="majorEastAsia" w:cstheme="majorBidi"/>
      <w:b/>
      <w:bCs/>
      <w:kern w:val="2"/>
      <w:sz w:val="32"/>
      <w:szCs w:val="32"/>
    </w:rPr>
  </w:style>
  <w:style w:type="paragraph" w:customStyle="1" w:styleId="30">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批注框文本 字符"/>
    <w:basedOn w:val="16"/>
    <w:link w:val="9"/>
    <w:semiHidden/>
    <w:qFormat/>
    <w:uiPriority w:val="99"/>
    <w:rPr>
      <w:rFonts w:ascii="Times New Roman" w:hAnsi="Times New Roman"/>
      <w:kern w:val="2"/>
      <w:sz w:val="18"/>
      <w:szCs w:val="18"/>
    </w:rPr>
  </w:style>
  <w:style w:type="character" w:customStyle="1" w:styleId="32">
    <w:name w:val="标题 3 字符"/>
    <w:basedOn w:val="16"/>
    <w:link w:val="5"/>
    <w:qFormat/>
    <w:uiPriority w:val="9"/>
    <w:rPr>
      <w:rFonts w:ascii="Times New Roman" w:hAnsi="Times New Roman"/>
      <w:b/>
      <w:bCs/>
      <w:kern w:val="2"/>
      <w:sz w:val="32"/>
      <w:szCs w:val="32"/>
    </w:rPr>
  </w:style>
  <w:style w:type="paragraph" w:customStyle="1" w:styleId="33">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4">
    <w:name w:val="WPSOffice手动目录 1"/>
    <w:qFormat/>
    <w:uiPriority w:val="0"/>
    <w:pPr>
      <w:ind w:leftChars="0"/>
    </w:pPr>
    <w:rPr>
      <w:rFonts w:ascii="Times New Roman" w:hAnsi="Times New Roman" w:eastAsia="宋体" w:cs="Times New Roman"/>
      <w:sz w:val="20"/>
      <w:szCs w:val="20"/>
    </w:rPr>
  </w:style>
  <w:style w:type="paragraph" w:customStyle="1" w:styleId="35">
    <w:name w:val="WPSOffice手动目录 2"/>
    <w:qFormat/>
    <w:uiPriority w:val="0"/>
    <w:pPr>
      <w:ind w:leftChars="200"/>
    </w:pPr>
    <w:rPr>
      <w:rFonts w:ascii="Times New Roman" w:hAnsi="Times New Roman" w:eastAsia="宋体" w:cs="Times New Roman"/>
      <w:sz w:val="20"/>
      <w:szCs w:val="20"/>
    </w:rPr>
  </w:style>
  <w:style w:type="paragraph" w:customStyle="1" w:styleId="36">
    <w:name w:val="常用样式（方正仿宋简）"/>
    <w:basedOn w:val="1"/>
    <w:qFormat/>
    <w:uiPriority w:val="0"/>
    <w:pPr>
      <w:spacing w:line="560" w:lineRule="exact"/>
      <w:ind w:firstLine="200" w:firstLineChars="200"/>
    </w:pPr>
    <w:rPr>
      <w:rFonts w:eastAsia="方正仿宋简体"/>
      <w:sz w:val="32"/>
    </w:rPr>
  </w:style>
  <w:style w:type="paragraph" w:customStyle="1" w:styleId="37">
    <w:name w:val="四号正文"/>
    <w:basedOn w:val="1"/>
    <w:qFormat/>
    <w:uiPriority w:val="0"/>
    <w:pPr>
      <w:spacing w:line="360" w:lineRule="auto"/>
    </w:pPr>
    <w:rPr>
      <w:rFonts w:ascii="??" w:hAnsi="??" w:eastAsia="宋体"/>
      <w:color w:val="000000"/>
      <w:kern w:val="0"/>
      <w:sz w:val="28"/>
      <w:szCs w:val="21"/>
      <w:lang w:val="zh-CN" w:eastAsia="zh-CN"/>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4.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5.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6.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Sheet1!$B$1</c:f>
              <c:strCache>
                <c:ptCount val="1"/>
                <c:pt idx="0">
                  <c:v>系列 1</c:v>
                </c:pt>
              </c:strCache>
            </c:strRef>
          </c:tx>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trendline>
            <c:spPr>
              <a:ln w="19050" cap="rnd">
                <a:solidFill>
                  <a:schemeClr val="accent1"/>
                </a:solidFill>
                <a:prstDash val="sysDot"/>
              </a:ln>
              <a:effectLst/>
            </c:spPr>
            <c:trendlineType val="linear"/>
            <c:dispRSqr val="false"/>
            <c:dispEq val="false"/>
          </c:trendline>
          <c:cat>
            <c:strRef>
              <c:f>Sheet1!$A$2:$A$3</c:f>
              <c:strCache>
                <c:ptCount val="2"/>
                <c:pt idx="0">
                  <c:v>2022年</c:v>
                </c:pt>
                <c:pt idx="1">
                  <c:v>2023年</c:v>
                </c:pt>
              </c:strCache>
            </c:strRef>
          </c:cat>
          <c:val>
            <c:numRef>
              <c:f>Sheet1!$B$2:$B$3</c:f>
              <c:numCache>
                <c:formatCode>General</c:formatCode>
                <c:ptCount val="2"/>
                <c:pt idx="0">
                  <c:v>755.99</c:v>
                </c:pt>
                <c:pt idx="1">
                  <c:v>660.86</c:v>
                </c:pt>
              </c:numCache>
            </c:numRef>
          </c:val>
        </c:ser>
        <c:dLbls>
          <c:showLegendKey val="false"/>
          <c:showVal val="true"/>
          <c:showCatName val="false"/>
          <c:showSerName val="false"/>
          <c:showPercent val="false"/>
          <c:showBubbleSize val="false"/>
        </c:dLbls>
        <c:gapWidth val="219"/>
        <c:overlap val="-27"/>
        <c:axId val="959438253"/>
        <c:axId val="910174166"/>
      </c:barChart>
      <c:catAx>
        <c:axId val="959438253"/>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910174166"/>
        <c:crosses val="autoZero"/>
        <c:auto val="true"/>
        <c:lblAlgn val="ctr"/>
        <c:lblOffset val="100"/>
        <c:noMultiLvlLbl val="false"/>
      </c:catAx>
      <c:valAx>
        <c:axId val="910174166"/>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959438253"/>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销售额</c:v>
                </c:pt>
              </c:strCache>
            </c:strRef>
          </c:tx>
          <c:spPr/>
          <c:explosion val="0"/>
          <c:dPt>
            <c:idx val="0"/>
            <c:bubble3D val="false"/>
            <c:spPr>
              <a:solidFill>
                <a:schemeClr val="accent1"/>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一般公共预算财政拨款收入658.09万元</c:v>
                </c:pt>
              </c:strCache>
            </c:strRef>
          </c:cat>
          <c:val>
            <c:numRef>
              <c:f>Sheet1!$B$2</c:f>
              <c:numCache>
                <c:formatCode>General</c:formatCode>
                <c:ptCount val="1"/>
                <c:pt idx="0">
                  <c:v>658.09</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销售额</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基本支出395.41万元</c:v>
                </c:pt>
                <c:pt idx="1">
                  <c:v>项目支出262.73万元</c:v>
                </c:pt>
              </c:strCache>
            </c:strRef>
          </c:cat>
          <c:val>
            <c:numRef>
              <c:f>Sheet1!$B$2:$B$3</c:f>
              <c:numCache>
                <c:formatCode>General</c:formatCode>
                <c:ptCount val="2"/>
                <c:pt idx="0">
                  <c:v>395.41</c:v>
                </c:pt>
                <c:pt idx="1">
                  <c:v>262.73</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manualLayout>
          <c:xMode val="edge"/>
          <c:yMode val="edge"/>
          <c:x val="0.187625"/>
          <c:y val="0.917833333333333"/>
          <c:w val="0.601625"/>
          <c:h val="0.0621666666666667"/>
        </c:manualLayou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Sheet1!$B$1</c:f>
              <c:strCache>
                <c:ptCount val="1"/>
                <c:pt idx="0">
                  <c:v>系列 1</c:v>
                </c:pt>
              </c:strCache>
            </c:strRef>
          </c:tx>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trendline>
            <c:spPr>
              <a:ln w="19050" cap="rnd">
                <a:solidFill>
                  <a:schemeClr val="accent1"/>
                </a:solidFill>
                <a:prstDash val="sysDot"/>
              </a:ln>
              <a:effectLst/>
            </c:spPr>
            <c:trendlineType val="linear"/>
            <c:dispRSqr val="false"/>
            <c:dispEq val="false"/>
          </c:trendline>
          <c:cat>
            <c:strRef>
              <c:f>Sheet1!$A$2:$A$3</c:f>
              <c:strCache>
                <c:ptCount val="2"/>
                <c:pt idx="0">
                  <c:v>2022年</c:v>
                </c:pt>
                <c:pt idx="1">
                  <c:v>2023年</c:v>
                </c:pt>
              </c:strCache>
            </c:strRef>
          </c:cat>
          <c:val>
            <c:numRef>
              <c:f>Sheet1!$B$2:$B$3</c:f>
              <c:numCache>
                <c:formatCode>General</c:formatCode>
                <c:ptCount val="2"/>
                <c:pt idx="0">
                  <c:v>743.3</c:v>
                </c:pt>
                <c:pt idx="1">
                  <c:v>660.86</c:v>
                </c:pt>
              </c:numCache>
            </c:numRef>
          </c:val>
        </c:ser>
        <c:dLbls>
          <c:showLegendKey val="false"/>
          <c:showVal val="true"/>
          <c:showCatName val="false"/>
          <c:showSerName val="false"/>
          <c:showPercent val="false"/>
          <c:showBubbleSize val="false"/>
        </c:dLbls>
        <c:gapWidth val="219"/>
        <c:overlap val="-27"/>
        <c:axId val="616130731"/>
        <c:axId val="787921728"/>
      </c:barChart>
      <c:catAx>
        <c:axId val="616130731"/>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787921728"/>
        <c:crosses val="autoZero"/>
        <c:auto val="true"/>
        <c:lblAlgn val="ctr"/>
        <c:lblOffset val="100"/>
        <c:noMultiLvlLbl val="false"/>
      </c:catAx>
      <c:valAx>
        <c:axId val="787921728"/>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616130731"/>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Sheet1!$B$1</c:f>
              <c:strCache>
                <c:ptCount val="1"/>
                <c:pt idx="0">
                  <c:v>系列 1</c:v>
                </c:pt>
              </c:strCache>
            </c:strRef>
          </c:tx>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trendline>
            <c:spPr>
              <a:ln w="19050" cap="rnd">
                <a:solidFill>
                  <a:schemeClr val="accent1"/>
                </a:solidFill>
                <a:prstDash val="sysDot"/>
              </a:ln>
              <a:effectLst/>
            </c:spPr>
            <c:trendlineType val="linear"/>
            <c:dispRSqr val="false"/>
            <c:dispEq val="false"/>
          </c:trendline>
          <c:cat>
            <c:strRef>
              <c:f>Sheet1!$A$2:$A$3</c:f>
              <c:strCache>
                <c:ptCount val="2"/>
                <c:pt idx="0">
                  <c:v>2022年</c:v>
                </c:pt>
                <c:pt idx="1">
                  <c:v>2023年</c:v>
                </c:pt>
              </c:strCache>
            </c:strRef>
          </c:cat>
          <c:val>
            <c:numRef>
              <c:f>Sheet1!$B$2:$B$3</c:f>
              <c:numCache>
                <c:formatCode>General</c:formatCode>
                <c:ptCount val="2"/>
                <c:pt idx="0">
                  <c:v>740.52</c:v>
                </c:pt>
                <c:pt idx="1">
                  <c:v>658.14</c:v>
                </c:pt>
              </c:numCache>
            </c:numRef>
          </c:val>
        </c:ser>
        <c:dLbls>
          <c:showLegendKey val="false"/>
          <c:showVal val="true"/>
          <c:showCatName val="false"/>
          <c:showSerName val="false"/>
          <c:showPercent val="false"/>
          <c:showBubbleSize val="false"/>
        </c:dLbls>
        <c:gapWidth val="219"/>
        <c:overlap val="-27"/>
        <c:axId val="869222262"/>
        <c:axId val="214057111"/>
      </c:barChart>
      <c:catAx>
        <c:axId val="869222262"/>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214057111"/>
        <c:crosses val="autoZero"/>
        <c:auto val="true"/>
        <c:lblAlgn val="ctr"/>
        <c:lblOffset val="100"/>
        <c:noMultiLvlLbl val="false"/>
      </c:catAx>
      <c:valAx>
        <c:axId val="214057111"/>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869222262"/>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销售额</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Pt>
            <c:idx val="2"/>
            <c:bubble3D val="false"/>
            <c:spPr>
              <a:solidFill>
                <a:schemeClr val="accent3"/>
              </a:solidFill>
              <a:ln w="19050">
                <a:solidFill>
                  <a:schemeClr val="lt1"/>
                </a:solidFill>
              </a:ln>
              <a:effectLst/>
            </c:spPr>
          </c:dPt>
          <c:dPt>
            <c:idx val="3"/>
            <c:bubble3D val="false"/>
            <c:spPr>
              <a:solidFill>
                <a:schemeClr val="accent4"/>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Sheet1!$A$2:$A$5</c:f>
              <c:strCache>
                <c:ptCount val="4"/>
                <c:pt idx="0">
                  <c:v>教育支出552.24万元</c:v>
                </c:pt>
                <c:pt idx="1">
                  <c:v>社会保障和就业支出39.45万元</c:v>
                </c:pt>
                <c:pt idx="2">
                  <c:v>卫生健康支出33.11万元</c:v>
                </c:pt>
                <c:pt idx="3">
                  <c:v>住房保障支出33.34万元</c:v>
                </c:pt>
              </c:strCache>
            </c:strRef>
          </c:cat>
          <c:val>
            <c:numRef>
              <c:f>Sheet1!$B$2:$B$5</c:f>
              <c:numCache>
                <c:formatCode>General</c:formatCode>
                <c:ptCount val="4"/>
                <c:pt idx="0">
                  <c:v>552.24</c:v>
                </c:pt>
                <c:pt idx="1">
                  <c:v>39.45</c:v>
                </c:pt>
                <c:pt idx="2">
                  <c:v>33.11</c:v>
                </c:pt>
                <c:pt idx="3">
                  <c:v>33.34</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销售额</c:v>
                </c:pt>
              </c:strCache>
            </c:strRef>
          </c:tx>
          <c:spPr/>
          <c:explosion val="0"/>
          <c:dPt>
            <c:idx val="0"/>
            <c:bubble3D val="false"/>
            <c:spPr>
              <a:solidFill>
                <a:schemeClr val="accent1"/>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c:f>
              <c:strCache>
                <c:ptCount val="1"/>
                <c:pt idx="0">
                  <c:v>公务接待费支出决算0.08万元</c:v>
                </c:pt>
              </c:strCache>
            </c:strRef>
          </c:cat>
          <c:val>
            <c:numRef>
              <c:f>Sheet1!$B$2</c:f>
              <c:numCache>
                <c:formatCode>General</c:formatCode>
                <c:ptCount val="1"/>
                <c:pt idx="0">
                  <c:v>0.08</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25</Pages>
  <Words>9323</Words>
  <Characters>10101</Characters>
  <Lines>54</Lines>
  <Paragraphs>15</Paragraphs>
  <TotalTime>2</TotalTime>
  <ScaleCrop>false</ScaleCrop>
  <LinksUpToDate>false</LinksUpToDate>
  <CharactersWithSpaces>10183</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2020-08-08T09:49:00Z</dcterms:created>
  <dc:creator>曹颖</dc:creator>
  <cp:lastModifiedBy> </cp:lastModifiedBy>
  <cp:lastPrinted>2024-09-20T13:11:00Z</cp:lastPrinted>
  <dcterms:modified xsi:type="dcterms:W3CDTF">2024-09-27T19:46:41Z</dcterms:modified>
  <dc:title>四川省***</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F8837705263040C487F809723F9BACBF_13</vt:lpwstr>
  </property>
</Properties>
</file>